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70" w:rsidRDefault="00177070" w:rsidP="00543BDB"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</w:p>
    <w:p w:rsidR="00543BDB" w:rsidRPr="00543BDB" w:rsidRDefault="00543BDB" w:rsidP="00543BDB">
      <w:pPr>
        <w:widowControl/>
        <w:shd w:val="clear" w:color="auto" w:fill="FFFFFF"/>
        <w:spacing w:before="100" w:beforeAutospacing="1" w:after="100" w:afterAutospacing="1" w:line="7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7C3F21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海南州</w:t>
      </w:r>
      <w:r w:rsidRPr="00543BD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201</w:t>
      </w:r>
      <w:r w:rsidRPr="007C3F21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8</w:t>
      </w:r>
      <w:r w:rsidRPr="00543BDB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年国民经济和社会发展统计公报</w:t>
      </w:r>
    </w:p>
    <w:p w:rsidR="00543BDB" w:rsidRPr="00177070" w:rsidRDefault="00543BDB" w:rsidP="00543BDB">
      <w:pPr>
        <w:widowControl/>
        <w:shd w:val="clear" w:color="auto" w:fill="FFFFFF"/>
        <w:spacing w:line="500" w:lineRule="exact"/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177070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海南州统计局</w:t>
      </w:r>
      <w:r w:rsidR="00E9191F" w:rsidRPr="00177070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 xml:space="preserve">    </w:t>
      </w:r>
      <w:r w:rsidRPr="00177070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国家统计局海南</w:t>
      </w:r>
      <w:r w:rsidR="00485FC1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州调查</w:t>
      </w:r>
      <w:r w:rsidRPr="00177070"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队</w:t>
      </w:r>
    </w:p>
    <w:p w:rsidR="00543BDB" w:rsidRDefault="00543BDB" w:rsidP="00543BDB">
      <w:pPr>
        <w:widowControl/>
        <w:shd w:val="clear" w:color="auto" w:fill="FFFFFF"/>
        <w:spacing w:before="100" w:beforeAutospacing="1" w:after="100" w:afterAutospacing="1" w:line="400" w:lineRule="atLeas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543BDB">
        <w:rPr>
          <w:rFonts w:ascii="Arial" w:eastAsia="宋体" w:hAnsi="Arial" w:cs="Arial"/>
          <w:color w:val="000000"/>
          <w:kern w:val="0"/>
          <w:sz w:val="28"/>
          <w:szCs w:val="28"/>
        </w:rPr>
        <w:t>201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9</w:t>
      </w:r>
      <w:r w:rsidRPr="00543BDB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年</w:t>
      </w:r>
      <w:r w:rsidR="00E9191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3</w:t>
      </w:r>
      <w:r w:rsidRPr="00543BDB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月</w:t>
      </w:r>
      <w:r w:rsidR="00E9191F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13</w:t>
      </w:r>
      <w:r w:rsidRPr="00543BDB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日</w:t>
      </w:r>
    </w:p>
    <w:p w:rsidR="00543BDB" w:rsidRDefault="00543BDB" w:rsidP="00543BDB">
      <w:pPr>
        <w:widowControl/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right="-5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201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8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面对错综复杂的外部环境和艰巨繁重的改革发展任务，在州委、州政府的坚强领导下，全州上下坚持以习近平新时代中国特色社会主义思想为指导，深入实施“五四战略”，奋力推进“一优两高”，不遗余力稳增长、多措并举调结构、聚焦重点抓改革、合力攻坚惠民生，</w:t>
      </w:r>
      <w:r w:rsidR="00270A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全州经济呈现出稳中趋快、稳中向好的发展态势。</w:t>
      </w:r>
    </w:p>
    <w:p w:rsidR="00270A00" w:rsidRPr="00270A00" w:rsidRDefault="00270A00" w:rsidP="007B60F7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right="-50" w:firstLineChars="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70A0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综合</w:t>
      </w:r>
    </w:p>
    <w:p w:rsidR="00270A00" w:rsidRDefault="00270A00" w:rsidP="00CD61EA">
      <w:pPr>
        <w:widowControl/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right="-50"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初步核算，全年全州</w:t>
      </w:r>
      <w:r w:rsidR="00A81CD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地区生产总值</w:t>
      </w:r>
      <w:r w:rsidRPr="004A48D1">
        <w:rPr>
          <w:rFonts w:ascii="Arial" w:eastAsia="仿宋" w:hAnsi="Arial" w:cs="Arial"/>
          <w:color w:val="000000"/>
          <w:kern w:val="0"/>
          <w:sz w:val="32"/>
          <w:szCs w:val="32"/>
        </w:rPr>
        <w:t>158.18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亿元，按可比价格计算，比上年增长</w:t>
      </w:r>
      <w:r w:rsidRPr="004A48D1">
        <w:rPr>
          <w:rFonts w:ascii="Arial" w:eastAsia="仿宋" w:hAnsi="Arial" w:cs="Arial"/>
          <w:color w:val="000000"/>
          <w:kern w:val="0"/>
          <w:sz w:val="32"/>
          <w:szCs w:val="32"/>
        </w:rPr>
        <w:t>6.2</w:t>
      </w:r>
      <w:r w:rsidRPr="00A81CD9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。分产业看，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第一产业增加值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38.77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亿元，增长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4.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4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；第二产业增加值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71.51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亿元，增长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9.5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；第三产业增加值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47.90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亿元，增长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2.2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。第一产业增加值占全</w:t>
      </w:r>
      <w:r w:rsidRPr="004A48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州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地区生产总值的比重为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24.5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，第二产业增加值比重为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45.2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，第三产业增加值比重为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30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.3%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。人均地区生产总值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33346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元，比上年增长</w:t>
      </w:r>
      <w:r w:rsidRPr="004A48D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5.3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C165F8" w:rsidRDefault="00177070" w:rsidP="00177070">
      <w:pPr>
        <w:widowControl/>
        <w:shd w:val="clear" w:color="auto" w:fill="FFFFFF"/>
        <w:tabs>
          <w:tab w:val="left" w:pos="0"/>
        </w:tabs>
        <w:spacing w:before="100" w:beforeAutospacing="1" w:after="100" w:afterAutospacing="1" w:line="360" w:lineRule="auto"/>
        <w:ind w:right="-5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77070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lastRenderedPageBreak/>
        <w:drawing>
          <wp:inline distT="0" distB="0" distL="0" distR="0">
            <wp:extent cx="5274310" cy="2676224"/>
            <wp:effectExtent l="0" t="0" r="0" b="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5CCD" w:rsidRDefault="00543BDB" w:rsidP="00270A0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年末全</w:t>
      </w:r>
      <w:r w:rsidR="00270A0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州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常住人口</w:t>
      </w:r>
      <w:r w:rsidR="00270A00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47.63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万人，比上年末增加</w:t>
      </w:r>
      <w:r w:rsidR="00270A00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0.39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万人。按城乡分，城镇常住人口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20.43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万人，占总人口的比重（常住人口城镇化率）为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42.9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，比上年末提高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6.1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个百分点；乡村常住人口</w:t>
      </w:r>
      <w:r w:rsidR="00DE7D4F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27.2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万人，占</w:t>
      </w:r>
      <w:r w:rsidR="00DE7D4F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57.1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。少数民族人口</w:t>
      </w:r>
      <w:r w:rsidR="00730EAD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37.24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万人，占</w:t>
      </w:r>
      <w:r w:rsidR="00730EAD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78.2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。全年人口出生率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11.8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‰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，比上年低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0.47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个千分点；人口死亡率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3.5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‰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，比上年</w:t>
      </w:r>
      <w:r w:rsidR="00FD421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提高</w:t>
      </w:r>
      <w:r w:rsidR="00FD4216" w:rsidRPr="00730EAD">
        <w:rPr>
          <w:rFonts w:ascii="Arial" w:eastAsia="仿宋" w:hAnsi="Arial" w:cs="Arial"/>
          <w:color w:val="000000"/>
          <w:kern w:val="0"/>
          <w:sz w:val="32"/>
          <w:szCs w:val="32"/>
        </w:rPr>
        <w:t>0.2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个千分点。全年人口自然增长率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8.3</w:t>
      </w:r>
      <w:r w:rsidRPr="00543BDB">
        <w:rPr>
          <w:rFonts w:ascii="Arial" w:eastAsia="宋体" w:hAnsi="Arial" w:cs="Arial"/>
          <w:color w:val="000000"/>
          <w:kern w:val="0"/>
          <w:sz w:val="32"/>
          <w:szCs w:val="32"/>
        </w:rPr>
        <w:t>‰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，比上年低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0.7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个千分点。年末全</w:t>
      </w:r>
      <w:r w:rsidR="004A48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州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户籍人口</w:t>
      </w:r>
      <w:r w:rsidR="00FD4216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47.03</w:t>
      </w:r>
      <w:r w:rsidRPr="00543B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万人，</w:t>
      </w:r>
      <w:r w:rsidRPr="002852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其中城镇户籍人口</w:t>
      </w:r>
      <w:r w:rsidR="0031663E" w:rsidRPr="002852E8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10.67</w:t>
      </w:r>
      <w:r w:rsidRPr="002852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万人，占总户籍人口的</w:t>
      </w:r>
      <w:r w:rsidR="0031663E" w:rsidRPr="002852E8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22.7</w:t>
      </w:r>
      <w:r w:rsidRPr="002852E8">
        <w:rPr>
          <w:rFonts w:ascii="Arial" w:eastAsia="宋体" w:hAnsi="Arial" w:cs="Arial"/>
          <w:color w:val="000000"/>
          <w:kern w:val="0"/>
          <w:sz w:val="32"/>
          <w:szCs w:val="32"/>
        </w:rPr>
        <w:t>%</w:t>
      </w:r>
      <w:r w:rsidRPr="002852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tbl>
      <w:tblPr>
        <w:tblW w:w="7994" w:type="dxa"/>
        <w:tblInd w:w="95" w:type="dxa"/>
        <w:tblLook w:val="04A0"/>
      </w:tblPr>
      <w:tblGrid>
        <w:gridCol w:w="2733"/>
        <w:gridCol w:w="2621"/>
        <w:gridCol w:w="2640"/>
      </w:tblGrid>
      <w:tr w:rsidR="00CB212B" w:rsidRPr="00CB212B" w:rsidTr="005B6AEB">
        <w:trPr>
          <w:trHeight w:val="451"/>
        </w:trPr>
        <w:tc>
          <w:tcPr>
            <w:tcW w:w="79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CB212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表1 2018年年末常住人口数及构成</w:t>
            </w:r>
          </w:p>
        </w:tc>
      </w:tr>
      <w:tr w:rsidR="00CB212B" w:rsidRPr="00CB212B" w:rsidTr="005B6AEB">
        <w:trPr>
          <w:trHeight w:val="369"/>
        </w:trPr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指　标 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年末数（万人）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比重（%）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常住人口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47.63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其中：城镇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20.43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42.9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　　乡村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27.2</w:t>
            </w:r>
            <w:r w:rsidR="005B6AEB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57.1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其中：男性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23.91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50.2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　　女性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23.72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49.8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>其中：汉族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21.8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      少数民族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37.24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78.2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64032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        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>藏族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32.42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68.1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64032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>回族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3.67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212B" w:rsidRPr="00CB212B" w:rsidRDefault="00730EAD" w:rsidP="00CB212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7.7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64032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>土族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730EA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730EAD">
              <w:rPr>
                <w:rFonts w:ascii="宋体" w:eastAsia="宋体" w:hAnsi="宋体" w:cs="宋体" w:hint="eastAsia"/>
                <w:kern w:val="0"/>
                <w:sz w:val="22"/>
              </w:rPr>
              <w:t>0.6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730EA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730EAD">
              <w:rPr>
                <w:rFonts w:ascii="宋体" w:eastAsia="宋体" w:hAnsi="宋体" w:cs="宋体" w:hint="eastAsia"/>
                <w:kern w:val="0"/>
                <w:sz w:val="22"/>
              </w:rPr>
              <w:t>1.3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64032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>撒拉族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730EA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730EAD">
              <w:rPr>
                <w:rFonts w:ascii="宋体" w:eastAsia="宋体" w:hAnsi="宋体" w:cs="宋体" w:hint="eastAsia"/>
                <w:kern w:val="0"/>
                <w:sz w:val="22"/>
              </w:rPr>
              <w:t>0.1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730EA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730EAD">
              <w:rPr>
                <w:rFonts w:ascii="宋体" w:eastAsia="宋体" w:hAnsi="宋体" w:cs="宋体" w:hint="eastAsia"/>
                <w:kern w:val="0"/>
                <w:sz w:val="22"/>
              </w:rPr>
              <w:t>0.2</w:t>
            </w:r>
          </w:p>
        </w:tc>
      </w:tr>
      <w:tr w:rsidR="00CB212B" w:rsidRPr="00CB212B" w:rsidTr="005B6AEB">
        <w:trPr>
          <w:trHeight w:val="253"/>
        </w:trPr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12B" w:rsidRPr="00CB212B" w:rsidRDefault="00C64032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 w:rsidR="00CB212B" w:rsidRPr="00CB212B">
              <w:rPr>
                <w:rFonts w:ascii="宋体" w:eastAsia="宋体" w:hAnsi="宋体" w:cs="宋体" w:hint="eastAsia"/>
                <w:kern w:val="0"/>
                <w:sz w:val="22"/>
              </w:rPr>
              <w:t>蒙族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730EA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730EAD">
              <w:rPr>
                <w:rFonts w:ascii="宋体" w:eastAsia="宋体" w:hAnsi="宋体" w:cs="宋体" w:hint="eastAsia"/>
                <w:kern w:val="0"/>
                <w:sz w:val="22"/>
              </w:rPr>
              <w:t>0.4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730EAD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CB212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  <w:r w:rsidR="00730EAD">
              <w:rPr>
                <w:rFonts w:ascii="宋体" w:eastAsia="宋体" w:hAnsi="宋体" w:cs="宋体" w:hint="eastAsia"/>
                <w:kern w:val="0"/>
                <w:sz w:val="22"/>
              </w:rPr>
              <w:t>0.8</w:t>
            </w:r>
          </w:p>
        </w:tc>
      </w:tr>
      <w:tr w:rsidR="00CB212B" w:rsidRPr="00CB212B" w:rsidTr="005B6AEB">
        <w:trPr>
          <w:trHeight w:val="171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12B" w:rsidRPr="00CB212B" w:rsidRDefault="00CB212B" w:rsidP="00CB21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568E3" w:rsidRPr="000B7E03" w:rsidRDefault="002568E3" w:rsidP="002568E3">
      <w:pPr>
        <w:widowControl/>
        <w:shd w:val="clear" w:color="auto" w:fill="FFFFFF"/>
        <w:snapToGrid w:val="0"/>
        <w:spacing w:line="500" w:lineRule="exact"/>
        <w:ind w:firstLine="640"/>
        <w:jc w:val="left"/>
        <w:rPr>
          <w:rFonts w:ascii="仿宋" w:eastAsia="仿宋" w:hAnsi="仿宋" w:cs="宋体"/>
          <w:color w:val="000000"/>
          <w:kern w:val="0"/>
        </w:rPr>
      </w:pP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全年全州城镇新增就业人员</w:t>
      </w:r>
      <w:r w:rsidR="00C6403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2091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人。年末城镇登记失业率</w:t>
      </w:r>
      <w:r w:rsidR="008201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控制在</w:t>
      </w:r>
      <w:r w:rsidR="00C6403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3.2</w:t>
      </w:r>
      <w:r w:rsidRPr="000B7E0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%</w:t>
      </w:r>
      <w:r w:rsidR="008201B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以内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。全年农牧区劳动力转移就业</w:t>
      </w:r>
      <w:r w:rsidR="00C64032" w:rsidRPr="00C64032">
        <w:rPr>
          <w:rFonts w:ascii="Arial" w:eastAsia="仿宋" w:hAnsi="Arial" w:cs="Arial"/>
          <w:color w:val="000000"/>
          <w:kern w:val="0"/>
          <w:sz w:val="32"/>
          <w:szCs w:val="32"/>
        </w:rPr>
        <w:t>4.55</w:t>
      </w:r>
      <w:r w:rsidR="008201B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万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人次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，实现劳务收入</w:t>
      </w:r>
      <w:r w:rsidR="00C64032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3.32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568E3" w:rsidRDefault="002568E3" w:rsidP="002568E3">
      <w:pPr>
        <w:widowControl/>
        <w:spacing w:line="500" w:lineRule="exact"/>
        <w:ind w:firstLine="539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2568E3" w:rsidRPr="000B7E03" w:rsidRDefault="002568E3" w:rsidP="002568E3">
      <w:pPr>
        <w:widowControl/>
        <w:spacing w:line="500" w:lineRule="exact"/>
        <w:ind w:firstLine="539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省定监测点共和地区全年居民消费价格总水平比上年上涨</w:t>
      </w:r>
      <w:r w:rsidR="001C1E0D"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2.7</w:t>
      </w:r>
      <w:r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。农业生产资料价格水平上涨</w:t>
      </w:r>
      <w:r w:rsidR="001C1E0D"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1.7</w:t>
      </w:r>
      <w:r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，商品零售价格水平上涨</w:t>
      </w:r>
      <w:r w:rsidR="001C1E0D"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2.3</w:t>
      </w:r>
      <w:r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C73EC1" w:rsidRDefault="008B7235" w:rsidP="005B6AEB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B7235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890052" cy="2663687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8385" w:type="dxa"/>
        <w:tblInd w:w="95" w:type="dxa"/>
        <w:tblLook w:val="04A0"/>
      </w:tblPr>
      <w:tblGrid>
        <w:gridCol w:w="4654"/>
        <w:gridCol w:w="3731"/>
      </w:tblGrid>
      <w:tr w:rsidR="00431DCA" w:rsidRPr="00431DCA" w:rsidTr="00B43067">
        <w:trPr>
          <w:trHeight w:val="124"/>
        </w:trPr>
        <w:tc>
          <w:tcPr>
            <w:tcW w:w="8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表2 2018年共和地区居民消费价格累计涨跌幅度</w:t>
            </w:r>
          </w:p>
        </w:tc>
      </w:tr>
      <w:tr w:rsidR="00431DCA" w:rsidRPr="00431DCA" w:rsidTr="00B43067">
        <w:trPr>
          <w:trHeight w:val="136"/>
        </w:trPr>
        <w:tc>
          <w:tcPr>
            <w:tcW w:w="8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CA" w:rsidRPr="00431DCA" w:rsidRDefault="00431DCA" w:rsidP="00431DC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31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1DCA" w:rsidRPr="00431DCA" w:rsidTr="00431DCA">
        <w:trPr>
          <w:trHeight w:val="161"/>
        </w:trPr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涨跌幅度（%)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居民消费价格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食品烟酒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3.0 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#粮食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-0.3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鲜菜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畜肉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水产品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蛋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14.6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鲜果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-3.9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衣着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-1.2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居住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5.0 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生活用品及服务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2.0 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交通和通信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教育文化和娱乐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医疗保健</w:t>
            </w: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431DCA" w:rsidRPr="00431DCA" w:rsidTr="00431DCA">
        <w:trPr>
          <w:trHeight w:val="149"/>
        </w:trPr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其他用品和服务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1DCA" w:rsidRPr="00431DCA" w:rsidRDefault="00431DCA" w:rsidP="00431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1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431DCA" w:rsidRPr="00431DCA" w:rsidTr="00431DCA">
        <w:trPr>
          <w:trHeight w:val="157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A" w:rsidRPr="00431DCA" w:rsidRDefault="00431DCA" w:rsidP="00431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CA" w:rsidRPr="00431DCA" w:rsidRDefault="00431DCA" w:rsidP="00431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3067" w:rsidRPr="00431DCA" w:rsidTr="00431DCA">
        <w:trPr>
          <w:trHeight w:val="157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67" w:rsidRPr="00431DCA" w:rsidRDefault="00B43067" w:rsidP="00431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067" w:rsidRPr="00431DCA" w:rsidRDefault="00B43067" w:rsidP="00431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43067" w:rsidRPr="000B7E03" w:rsidRDefault="00B43067" w:rsidP="00B4306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全年全州地方公共财政预算收入</w:t>
      </w:r>
      <w:r w:rsidRPr="00B43067">
        <w:rPr>
          <w:rFonts w:ascii="Arial" w:eastAsia="仿宋" w:hAnsi="Arial" w:cs="Arial"/>
          <w:color w:val="000000"/>
          <w:kern w:val="0"/>
          <w:sz w:val="32"/>
          <w:szCs w:val="32"/>
        </w:rPr>
        <w:t>10.45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亿元，比上年同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比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Pr="00B43067">
        <w:rPr>
          <w:rFonts w:ascii="Arial" w:eastAsia="仿宋" w:hAnsi="Arial" w:cs="Arial"/>
          <w:color w:val="000000"/>
          <w:kern w:val="0"/>
          <w:sz w:val="32"/>
          <w:szCs w:val="32"/>
        </w:rPr>
        <w:t>1.3%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。其中，税收收入</w:t>
      </w:r>
      <w:r w:rsidRPr="00B43067">
        <w:rPr>
          <w:rFonts w:ascii="Arial" w:eastAsia="仿宋" w:hAnsi="Arial" w:cs="Arial"/>
          <w:color w:val="000000"/>
          <w:kern w:val="0"/>
          <w:sz w:val="32"/>
          <w:szCs w:val="32"/>
        </w:rPr>
        <w:t>6.36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亿元，增长</w:t>
      </w:r>
      <w:r w:rsidRPr="00B43067">
        <w:rPr>
          <w:rFonts w:ascii="Arial" w:eastAsia="仿宋" w:hAnsi="Arial" w:cs="Arial"/>
          <w:color w:val="000000"/>
          <w:kern w:val="0"/>
          <w:sz w:val="32"/>
          <w:szCs w:val="32"/>
        </w:rPr>
        <w:t>4.1%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；非税收入</w:t>
      </w:r>
      <w:r w:rsidRPr="00B43067">
        <w:rPr>
          <w:rFonts w:ascii="Arial" w:eastAsia="仿宋" w:hAnsi="Arial" w:cs="Arial"/>
          <w:color w:val="000000"/>
          <w:kern w:val="0"/>
          <w:sz w:val="32"/>
          <w:szCs w:val="32"/>
        </w:rPr>
        <w:t>4.09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亿元，下降</w:t>
      </w:r>
      <w:r w:rsidRPr="00B43067">
        <w:rPr>
          <w:rFonts w:ascii="Arial" w:eastAsia="仿宋" w:hAnsi="Arial" w:cs="Arial"/>
          <w:color w:val="000000"/>
          <w:kern w:val="0"/>
          <w:sz w:val="32"/>
          <w:szCs w:val="32"/>
        </w:rPr>
        <w:t>2.7%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公共财政预算支出</w:t>
      </w:r>
      <w:r w:rsidRPr="00B43067">
        <w:rPr>
          <w:rFonts w:ascii="Arial" w:eastAsia="仿宋" w:hAnsi="Arial" w:cs="Arial"/>
          <w:kern w:val="0"/>
          <w:sz w:val="32"/>
          <w:szCs w:val="32"/>
        </w:rPr>
        <w:t>107.42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B43067">
        <w:rPr>
          <w:rFonts w:ascii="Arial" w:eastAsia="仿宋" w:hAnsi="Arial" w:cs="Arial"/>
          <w:kern w:val="0"/>
          <w:sz w:val="32"/>
          <w:szCs w:val="32"/>
        </w:rPr>
        <w:t>11.0 %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。其中：</w:t>
      </w:r>
      <w:r w:rsidR="00E608B1">
        <w:rPr>
          <w:rFonts w:ascii="仿宋" w:eastAsia="仿宋" w:hAnsi="仿宋" w:cs="仿宋_GB2312" w:hint="eastAsia"/>
          <w:kern w:val="0"/>
          <w:sz w:val="32"/>
          <w:szCs w:val="32"/>
        </w:rPr>
        <w:t>一般公共服务支出</w:t>
      </w:r>
      <w:r w:rsidR="00E608B1" w:rsidRPr="00E608B1">
        <w:rPr>
          <w:rFonts w:ascii="Arial" w:eastAsia="仿宋" w:hAnsi="Arial" w:cs="Arial"/>
          <w:kern w:val="0"/>
          <w:sz w:val="32"/>
          <w:szCs w:val="32"/>
        </w:rPr>
        <w:t>9.89</w:t>
      </w:r>
      <w:r w:rsidR="00E608B1">
        <w:rPr>
          <w:rFonts w:ascii="仿宋" w:eastAsia="仿宋" w:hAnsi="仿宋" w:cs="仿宋_GB2312" w:hint="eastAsia"/>
          <w:kern w:val="0"/>
          <w:sz w:val="32"/>
          <w:szCs w:val="32"/>
        </w:rPr>
        <w:t>亿元、增长</w:t>
      </w:r>
      <w:r w:rsidR="00E608B1" w:rsidRPr="00E608B1">
        <w:rPr>
          <w:rFonts w:ascii="Arial" w:eastAsia="仿宋" w:hAnsi="Arial" w:cs="Arial"/>
          <w:kern w:val="0"/>
          <w:sz w:val="32"/>
          <w:szCs w:val="32"/>
        </w:rPr>
        <w:t>12.9</w:t>
      </w:r>
      <w:r w:rsidR="00E608B1">
        <w:rPr>
          <w:rFonts w:ascii="仿宋" w:eastAsia="仿宋" w:hAnsi="仿宋" w:cs="仿宋_GB2312" w:hint="eastAsia"/>
          <w:kern w:val="0"/>
          <w:sz w:val="32"/>
          <w:szCs w:val="32"/>
        </w:rPr>
        <w:t>%，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公共安全支出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3.85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亿元、增长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5.7</w:t>
      </w:r>
      <w:r w:rsidRPr="00C00924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，社会保障与就业支出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15.91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亿元、增长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21.2</w:t>
      </w:r>
      <w:r w:rsidRPr="00C00924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，教育支出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17.52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亿元、增长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10.4</w:t>
      </w:r>
      <w:r w:rsidRPr="00C00924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，科学技术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0.3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亿元、</w:t>
      </w:r>
      <w:r w:rsidR="00E608B1">
        <w:rPr>
          <w:rFonts w:ascii="仿宋" w:eastAsia="仿宋" w:hAnsi="仿宋" w:cs="仿宋_GB2312" w:hint="eastAsia"/>
          <w:kern w:val="0"/>
          <w:sz w:val="32"/>
          <w:szCs w:val="32"/>
        </w:rPr>
        <w:t>下降</w:t>
      </w:r>
      <w:r w:rsidR="00E608B1" w:rsidRPr="00E608B1">
        <w:rPr>
          <w:rFonts w:ascii="Arial" w:eastAsia="仿宋" w:hAnsi="Arial" w:cs="Arial"/>
          <w:kern w:val="0"/>
          <w:sz w:val="32"/>
          <w:szCs w:val="32"/>
        </w:rPr>
        <w:t>43.4</w:t>
      </w:r>
      <w:r w:rsidRPr="00C00924">
        <w:rPr>
          <w:rFonts w:ascii="Arial" w:eastAsia="仿宋" w:hAnsi="Arial" w:cs="Arial"/>
          <w:kern w:val="0"/>
          <w:sz w:val="32"/>
          <w:szCs w:val="32"/>
        </w:rPr>
        <w:t>%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，医疗卫生与计划生育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8.81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亿元，增长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5.9%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，节能环保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3.99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亿元、增长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3.4%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，城乡社区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3.57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亿元、下降</w:t>
      </w:r>
      <w:r w:rsidR="00E608B1">
        <w:rPr>
          <w:rFonts w:ascii="Arial" w:eastAsia="仿宋" w:hAnsi="Arial" w:cs="Arial" w:hint="eastAsia"/>
          <w:kern w:val="0"/>
          <w:sz w:val="32"/>
          <w:szCs w:val="32"/>
        </w:rPr>
        <w:t>24.5%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B43067" w:rsidRDefault="00B43067" w:rsidP="00B43067">
      <w:pPr>
        <w:pStyle w:val="a5"/>
        <w:widowControl/>
        <w:shd w:val="clear" w:color="auto" w:fill="FFFFFF"/>
        <w:snapToGrid w:val="0"/>
        <w:spacing w:line="500" w:lineRule="exact"/>
        <w:ind w:left="720" w:firstLineChars="0" w:firstLine="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431DCA" w:rsidRDefault="00B43067" w:rsidP="00B43067">
      <w:pPr>
        <w:pStyle w:val="a5"/>
        <w:widowControl/>
        <w:shd w:val="clear" w:color="auto" w:fill="FFFFFF"/>
        <w:snapToGrid w:val="0"/>
        <w:spacing w:line="500" w:lineRule="exact"/>
        <w:ind w:left="720" w:firstLineChars="0" w:firstLine="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</w:t>
      </w:r>
      <w:r w:rsidR="00431DCA" w:rsidRPr="007B60F7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种植业和畜牧业</w:t>
      </w:r>
    </w:p>
    <w:p w:rsidR="00A358B0" w:rsidRPr="007B60F7" w:rsidRDefault="00A358B0" w:rsidP="00A358B0">
      <w:pPr>
        <w:pStyle w:val="a5"/>
        <w:widowControl/>
        <w:shd w:val="clear" w:color="auto" w:fill="FFFFFF"/>
        <w:snapToGrid w:val="0"/>
        <w:spacing w:line="500" w:lineRule="exact"/>
        <w:ind w:left="720" w:firstLineChars="0" w:firstLine="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431DCA" w:rsidRDefault="00431DCA" w:rsidP="00C6403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全年全州农作物总播种面积</w:t>
      </w:r>
      <w:r w:rsidR="008A209F"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130.56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万亩，比上年</w:t>
      </w:r>
      <w:r w:rsidR="00E608B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A505E3" w:rsidRPr="00A505E3">
        <w:rPr>
          <w:rFonts w:ascii="Arial" w:eastAsia="仿宋" w:hAnsi="Arial" w:cs="Arial"/>
          <w:color w:val="000000"/>
          <w:kern w:val="0"/>
          <w:sz w:val="32"/>
          <w:szCs w:val="32"/>
        </w:rPr>
        <w:t>4.39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</w:t>
      </w:r>
      <w:r w:rsidR="008A209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="008A209F"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3.5</w:t>
      </w:r>
      <w:r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。粮食作物播种面积</w:t>
      </w:r>
      <w:r w:rsidR="008A209F" w:rsidRPr="002852E8">
        <w:rPr>
          <w:rFonts w:ascii="Arial" w:eastAsia="仿宋" w:hAnsi="Arial" w:cs="Arial"/>
          <w:color w:val="000000"/>
          <w:kern w:val="0"/>
          <w:sz w:val="32"/>
          <w:szCs w:val="32"/>
        </w:rPr>
        <w:t>68.57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</w:t>
      </w:r>
      <w:r w:rsidR="00E608B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比上年增加</w:t>
      </w:r>
      <w:r w:rsidR="006A66D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3.3</w:t>
      </w:r>
      <w:r w:rsidR="00E608B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。其中：青稞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41.69</w:t>
      </w:r>
      <w:r w:rsidR="00E608B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</w:t>
      </w:r>
      <w:r w:rsidR="006A66D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3.09</w:t>
      </w:r>
      <w:r w:rsidR="00E608B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万亩；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小麦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21.86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万亩，增加 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0.6</w:t>
      </w:r>
      <w:r w:rsidR="00403D56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万亩；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马铃薯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2.36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</w:t>
      </w:r>
      <w:r w:rsidR="006A66D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减少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0.47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经济作物播种面积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48.16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万亩，增加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0.62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万亩，其中，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油料作物播种面积</w:t>
      </w:r>
      <w:r w:rsidR="00B07B72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41.34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万亩，增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加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0.22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="00B07B7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中草药材</w:t>
      </w:r>
      <w:r w:rsidR="00B07B72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2.57</w:t>
      </w:r>
      <w:r w:rsidR="00B07B7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0.35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</w:t>
      </w:r>
      <w:r w:rsidR="00B07B7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蔬菜播种面积</w:t>
      </w:r>
      <w:r w:rsidR="00B07B72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4.25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万亩，增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加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0.05</w:t>
      </w:r>
      <w:r w:rsidR="00403D56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。全年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粮食产量</w:t>
      </w:r>
      <w:r w:rsidR="00222F4D" w:rsidRPr="00222F4D">
        <w:rPr>
          <w:rFonts w:ascii="Arial" w:eastAsia="仿宋" w:hAnsi="Arial" w:cs="Arial"/>
          <w:kern w:val="0"/>
          <w:sz w:val="32"/>
          <w:szCs w:val="32"/>
        </w:rPr>
        <w:t>12.58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万吨，</w:t>
      </w:r>
      <w:r w:rsidR="006A66D1">
        <w:rPr>
          <w:rFonts w:ascii="仿宋" w:eastAsia="仿宋" w:hAnsi="仿宋" w:cs="宋体" w:hint="eastAsia"/>
          <w:kern w:val="0"/>
          <w:sz w:val="32"/>
          <w:szCs w:val="32"/>
        </w:rPr>
        <w:t>增长</w:t>
      </w:r>
      <w:r w:rsidR="00222F4D" w:rsidRPr="00222F4D">
        <w:rPr>
          <w:rFonts w:ascii="Arial" w:eastAsia="仿宋" w:hAnsi="Arial" w:cs="Arial"/>
          <w:kern w:val="0"/>
          <w:sz w:val="32"/>
          <w:szCs w:val="32"/>
        </w:rPr>
        <w:t>4.3</w:t>
      </w:r>
      <w:r w:rsidRPr="00222F4D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；油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料产量</w:t>
      </w:r>
      <w:r w:rsidR="006A66D1" w:rsidRPr="006A66D1">
        <w:rPr>
          <w:rFonts w:ascii="Arial" w:eastAsia="仿宋" w:hAnsi="Arial" w:cs="Arial"/>
          <w:kern w:val="0"/>
          <w:sz w:val="32"/>
          <w:szCs w:val="32"/>
        </w:rPr>
        <w:t>3.81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万吨，增长</w:t>
      </w:r>
      <w:r w:rsidR="00222F4D" w:rsidRPr="00222F4D">
        <w:rPr>
          <w:rFonts w:ascii="Arial" w:eastAsia="仿宋" w:hAnsi="Arial" w:cs="Arial"/>
          <w:kern w:val="0"/>
          <w:sz w:val="32"/>
          <w:szCs w:val="32"/>
        </w:rPr>
        <w:t>5.4</w:t>
      </w:r>
      <w:r w:rsidRPr="00222F4D">
        <w:rPr>
          <w:rFonts w:ascii="Arial" w:eastAsia="仿宋" w:hAnsi="Arial" w:cs="Arial"/>
          <w:kern w:val="0"/>
          <w:sz w:val="32"/>
          <w:szCs w:val="32"/>
        </w:rPr>
        <w:t>%</w:t>
      </w:r>
      <w:r w:rsidR="00B07B72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B07B7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中草药材产量</w:t>
      </w:r>
      <w:r w:rsidR="006A66D1" w:rsidRPr="006A66D1">
        <w:rPr>
          <w:rFonts w:ascii="Arial" w:eastAsia="仿宋" w:hAnsi="Arial" w:cs="Arial"/>
          <w:color w:val="000000"/>
          <w:kern w:val="0"/>
          <w:sz w:val="32"/>
          <w:szCs w:val="32"/>
        </w:rPr>
        <w:t>0.16</w:t>
      </w:r>
      <w:r w:rsidR="00B07B72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万吨，增长</w:t>
      </w:r>
      <w:r w:rsidR="00222F4D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2.2</w:t>
      </w:r>
      <w:r w:rsidR="006A66D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倍</w:t>
      </w:r>
      <w:r w:rsidR="00403D56" w:rsidRPr="000B7E03">
        <w:rPr>
          <w:rFonts w:ascii="仿宋" w:eastAsia="仿宋" w:hAnsi="仿宋" w:cs="宋体" w:hint="eastAsia"/>
          <w:kern w:val="0"/>
          <w:sz w:val="32"/>
          <w:szCs w:val="32"/>
        </w:rPr>
        <w:t>；蔬菜产量</w:t>
      </w:r>
      <w:r w:rsidR="006A66D1" w:rsidRPr="006A66D1">
        <w:rPr>
          <w:rFonts w:ascii="Arial" w:eastAsia="仿宋" w:hAnsi="Arial" w:cs="Arial"/>
          <w:kern w:val="0"/>
          <w:sz w:val="32"/>
          <w:szCs w:val="32"/>
        </w:rPr>
        <w:t>6.34</w:t>
      </w:r>
      <w:r w:rsidR="00403D56" w:rsidRPr="000B7E03">
        <w:rPr>
          <w:rFonts w:ascii="仿宋" w:eastAsia="仿宋" w:hAnsi="仿宋" w:cs="宋体" w:hint="eastAsia"/>
          <w:kern w:val="0"/>
          <w:sz w:val="32"/>
          <w:szCs w:val="32"/>
        </w:rPr>
        <w:t>万吨，增长</w:t>
      </w:r>
      <w:r w:rsidR="006A66D1">
        <w:rPr>
          <w:rFonts w:ascii="Arial" w:eastAsia="仿宋" w:hAnsi="Arial" w:cs="Arial" w:hint="eastAsia"/>
          <w:kern w:val="0"/>
          <w:sz w:val="32"/>
          <w:szCs w:val="32"/>
        </w:rPr>
        <w:t>1.9</w:t>
      </w:r>
      <w:r w:rsidR="00403D56" w:rsidRPr="00222F4D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tbl>
      <w:tblPr>
        <w:tblW w:w="8120" w:type="dxa"/>
        <w:tblInd w:w="95" w:type="dxa"/>
        <w:tblLook w:val="04A0"/>
      </w:tblPr>
      <w:tblGrid>
        <w:gridCol w:w="2740"/>
        <w:gridCol w:w="1960"/>
        <w:gridCol w:w="3420"/>
      </w:tblGrid>
      <w:tr w:rsidR="006A66D1" w:rsidRPr="006A66D1" w:rsidTr="006A66D1">
        <w:trPr>
          <w:trHeight w:val="36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66D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表3 2018年主要农产品产量及增长速度</w:t>
            </w:r>
          </w:p>
        </w:tc>
      </w:tr>
      <w:tr w:rsidR="006A66D1" w:rsidRPr="006A66D1" w:rsidTr="006A66D1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A66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66D1" w:rsidRPr="006A66D1" w:rsidTr="006A66D1">
        <w:trPr>
          <w:trHeight w:val="630"/>
        </w:trPr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产量（万吨）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比上年增减（%）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   </w:t>
            </w:r>
            <w:r w:rsidRPr="006A66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粮食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12.58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          #  </w:t>
            </w:r>
            <w:r w:rsidRPr="006A66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小麦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6.51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             </w:t>
            </w:r>
            <w:r w:rsidRPr="006A66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青稞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           </w:t>
            </w:r>
            <w:r w:rsidRPr="006A66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马铃薯（折粮）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-11.3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   </w:t>
            </w:r>
            <w:r w:rsidRPr="006A66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油料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中草药材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2.2倍</w:t>
            </w:r>
          </w:p>
        </w:tc>
      </w:tr>
      <w:tr w:rsidR="006A66D1" w:rsidRPr="006A66D1" w:rsidTr="006A66D1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A66D1" w:rsidRPr="006A66D1" w:rsidRDefault="006A66D1" w:rsidP="006A66D1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    </w:t>
            </w:r>
            <w:r w:rsidRPr="006A66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蔬菜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6A66D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6D1" w:rsidRPr="006A66D1" w:rsidRDefault="006A66D1" w:rsidP="006A66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A66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</w:t>
            </w:r>
          </w:p>
        </w:tc>
      </w:tr>
    </w:tbl>
    <w:p w:rsidR="006A66D1" w:rsidRDefault="006A66D1" w:rsidP="00431DCA">
      <w:pPr>
        <w:widowControl/>
        <w:spacing w:line="500" w:lineRule="exact"/>
        <w:ind w:right="23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106782" w:rsidRDefault="00431DCA" w:rsidP="00C64032">
      <w:pPr>
        <w:widowControl/>
        <w:spacing w:line="560" w:lineRule="exact"/>
        <w:ind w:right="23"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全年全州育活仔畜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195.27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万头（只），比上年</w:t>
      </w:r>
      <w:r w:rsidR="00B345C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下降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1.9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，仔畜成活率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95.12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="00BF334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下降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0.8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个百分点；成畜死亡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6.64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万头（只），死亡率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1.44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r w:rsidR="00BF334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提高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0.3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个百分点；年末草食畜存栏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456.02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万头（只），下降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1.4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；各类牲畜出栏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219.27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万头（只），增长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4.2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，出栏率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47.43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，提高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1.2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个百分点；商品率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43.21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，提高</w:t>
      </w:r>
      <w:r w:rsidR="00BF3345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2.2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个百分点。</w:t>
      </w:r>
      <w:r w:rsidR="00106782">
        <w:rPr>
          <w:rFonts w:ascii="仿宋" w:eastAsia="仿宋" w:hAnsi="仿宋" w:hint="eastAsia"/>
          <w:color w:val="000000"/>
          <w:sz w:val="32"/>
          <w:szCs w:val="32"/>
        </w:rPr>
        <w:t>全年全州肉类总产</w:t>
      </w:r>
      <w:r w:rsidR="00106782" w:rsidRPr="00106782">
        <w:rPr>
          <w:rFonts w:ascii="仿宋" w:eastAsia="仿宋" w:hAnsi="仿宋" w:hint="eastAsia"/>
          <w:color w:val="000000"/>
          <w:sz w:val="32"/>
          <w:szCs w:val="32"/>
        </w:rPr>
        <w:t>量</w:t>
      </w:r>
      <w:r w:rsidR="00106782" w:rsidRPr="00222F4D">
        <w:rPr>
          <w:rFonts w:ascii="Arial" w:eastAsia="仿宋" w:hAnsi="Arial" w:cs="Arial"/>
          <w:color w:val="000000"/>
          <w:sz w:val="32"/>
          <w:szCs w:val="32"/>
        </w:rPr>
        <w:t>5.85</w:t>
      </w:r>
      <w:r w:rsidR="00106782" w:rsidRPr="00106782">
        <w:rPr>
          <w:rFonts w:ascii="仿宋" w:eastAsia="仿宋" w:hAnsi="仿宋" w:hint="eastAsia"/>
          <w:color w:val="000000"/>
          <w:sz w:val="32"/>
          <w:szCs w:val="32"/>
        </w:rPr>
        <w:t>万吨，增长</w:t>
      </w:r>
      <w:r w:rsidR="00106782" w:rsidRPr="00222F4D">
        <w:rPr>
          <w:rFonts w:ascii="Arial" w:eastAsia="仿宋" w:hAnsi="Arial" w:cs="Arial"/>
          <w:color w:val="000000"/>
          <w:sz w:val="32"/>
          <w:szCs w:val="32"/>
        </w:rPr>
        <w:t>9.5%</w:t>
      </w:r>
      <w:r w:rsidR="00106782" w:rsidRPr="00106782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B345C7" w:rsidRPr="00106782" w:rsidRDefault="00B345C7" w:rsidP="00C64032">
      <w:pPr>
        <w:widowControl/>
        <w:spacing w:line="560" w:lineRule="exact"/>
        <w:ind w:right="23"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W w:w="8120" w:type="dxa"/>
        <w:tblInd w:w="95" w:type="dxa"/>
        <w:tblLook w:val="04A0"/>
      </w:tblPr>
      <w:tblGrid>
        <w:gridCol w:w="2740"/>
        <w:gridCol w:w="1960"/>
        <w:gridCol w:w="3420"/>
      </w:tblGrid>
      <w:tr w:rsidR="00C05154" w:rsidRPr="00C05154" w:rsidTr="00C05154">
        <w:trPr>
          <w:trHeight w:val="435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515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表4   2018年主要畜产品产量及增长速度</w:t>
            </w:r>
          </w:p>
        </w:tc>
      </w:tr>
      <w:tr w:rsidR="00C05154" w:rsidRPr="00C05154" w:rsidTr="00C05154">
        <w:trPr>
          <w:trHeight w:val="300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05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          </w:t>
            </w:r>
          </w:p>
        </w:tc>
      </w:tr>
      <w:tr w:rsidR="00C05154" w:rsidRPr="00C05154" w:rsidTr="00C05154">
        <w:trPr>
          <w:trHeight w:val="615"/>
        </w:trPr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产量（万吨）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比上年增减（%）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肉类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 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其中：猪肉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30.4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  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     牛肉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  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     羊肉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牛奶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羊毛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</w:tr>
      <w:tr w:rsidR="00C05154" w:rsidRPr="00C05154" w:rsidTr="00C05154">
        <w:trPr>
          <w:trHeight w:val="420"/>
        </w:trPr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0515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 </w:t>
            </w:r>
            <w:r w:rsidRPr="00C05154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禽蛋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05154" w:rsidRPr="00C05154" w:rsidRDefault="00C05154" w:rsidP="00C051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51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-1.4</w:t>
            </w:r>
          </w:p>
        </w:tc>
      </w:tr>
    </w:tbl>
    <w:p w:rsidR="00431DCA" w:rsidRPr="007B60F7" w:rsidRDefault="00431DCA" w:rsidP="00431DCA">
      <w:pPr>
        <w:widowControl/>
        <w:spacing w:line="5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014278" w:rsidRPr="00F34C37" w:rsidRDefault="00014278" w:rsidP="00343A59">
      <w:pPr>
        <w:pStyle w:val="a5"/>
        <w:widowControl/>
        <w:numPr>
          <w:ilvl w:val="0"/>
          <w:numId w:val="3"/>
        </w:numPr>
        <w:spacing w:line="340" w:lineRule="exact"/>
        <w:ind w:firstLineChars="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F34C37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工业和建筑业</w:t>
      </w:r>
    </w:p>
    <w:p w:rsidR="00A358B0" w:rsidRPr="007B60F7" w:rsidRDefault="00A358B0" w:rsidP="00A358B0">
      <w:pPr>
        <w:pStyle w:val="a5"/>
        <w:widowControl/>
        <w:spacing w:line="340" w:lineRule="exact"/>
        <w:ind w:left="720" w:firstLineChars="0" w:firstLine="0"/>
        <w:rPr>
          <w:rFonts w:ascii="黑体" w:eastAsia="黑体" w:hAnsi="黑体"/>
          <w:bCs/>
          <w:color w:val="000000"/>
          <w:kern w:val="0"/>
          <w:sz w:val="32"/>
          <w:szCs w:val="32"/>
        </w:rPr>
      </w:pPr>
    </w:p>
    <w:p w:rsidR="00014278" w:rsidRPr="000B7E03" w:rsidRDefault="00014278" w:rsidP="00C64032">
      <w:pPr>
        <w:widowControl/>
        <w:spacing w:line="56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</w:t>
      </w:r>
      <w:r w:rsidR="00B345C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实现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全部工业增加值</w:t>
      </w:r>
      <w:r w:rsidR="00FF286A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55.3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亿元，按可比价格计算，比上年增长</w:t>
      </w:r>
      <w:r w:rsidR="00FF286A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21.7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。其中，规模以上工业增加值增长</w:t>
      </w:r>
      <w:r w:rsidR="00FF286A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21.7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。在规模以上工业中，按经济类型分，国有企业增加值增长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38.2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；股份制企业增加值下降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63.5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。按门类分，采矿业增加值下降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100.0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，制造业增加值</w:t>
      </w:r>
      <w:r w:rsidR="00560DE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增长7.7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，电力、燃气及水的生产和供应业增加值增长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25.7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A44CD6" w:rsidRDefault="00F93A95" w:rsidP="00CA4F79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noProof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-29818</wp:posOffset>
            </wp:positionH>
            <wp:positionV relativeFrom="paragraph">
              <wp:posOffset>87023</wp:posOffset>
            </wp:positionV>
            <wp:extent cx="5390985" cy="2981739"/>
            <wp:effectExtent l="0" t="0" r="0" b="0"/>
            <wp:wrapNone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A4F79" w:rsidRDefault="00CA4F79" w:rsidP="00CA4F79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A4F79" w:rsidRDefault="00CA4F79" w:rsidP="00CA4F79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CA4F79" w:rsidRDefault="00CA4F79" w:rsidP="00CA4F79">
      <w:pPr>
        <w:widowControl/>
        <w:spacing w:line="5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E5CCD" w:rsidRDefault="006E5CCD" w:rsidP="00270A0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E5CCD" w:rsidRDefault="006E5CCD" w:rsidP="00270A00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A48D1" w:rsidRPr="00543BDB" w:rsidRDefault="004A48D1" w:rsidP="004A48D1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543BDB" w:rsidRDefault="00F93A95" w:rsidP="00B93F7A">
      <w:pPr>
        <w:widowControl/>
        <w:shd w:val="clear" w:color="auto" w:fill="FFFFFF"/>
        <w:spacing w:before="100" w:beforeAutospacing="1" w:after="100" w:afterAutospacing="1" w:line="360" w:lineRule="auto"/>
        <w:ind w:firstLine="5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93F7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全年全州规模以上工业</w:t>
      </w:r>
      <w:r w:rsidR="00B93F7A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9</w:t>
      </w:r>
      <w:r w:rsidRPr="00B93F7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个行业中，</w:t>
      </w:r>
      <w:r w:rsidR="00B93F7A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</w:t>
      </w:r>
      <w:r w:rsidR="00B93F7A" w:rsidRPr="00B93F7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个行业增加值较上年呈增长态势</w:t>
      </w:r>
      <w:r w:rsidR="00B93F7A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tbl>
      <w:tblPr>
        <w:tblW w:w="7140" w:type="dxa"/>
        <w:tblInd w:w="584" w:type="dxa"/>
        <w:tblLook w:val="04A0"/>
      </w:tblPr>
      <w:tblGrid>
        <w:gridCol w:w="3820"/>
        <w:gridCol w:w="3320"/>
      </w:tblGrid>
      <w:tr w:rsidR="00B93F7A" w:rsidRPr="00B93F7A" w:rsidTr="00D63832">
        <w:trPr>
          <w:trHeight w:val="57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3F7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表5  2018年规模以上工业主要行业增加值增长速度</w:t>
            </w:r>
          </w:p>
        </w:tc>
      </w:tr>
      <w:tr w:rsidR="00B93F7A" w:rsidRPr="00B93F7A" w:rsidTr="00D63832">
        <w:trPr>
          <w:trHeight w:val="79"/>
        </w:trPr>
        <w:tc>
          <w:tcPr>
            <w:tcW w:w="7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93F7A" w:rsidRPr="00B93F7A" w:rsidTr="00D63832">
        <w:trPr>
          <w:trHeight w:val="495"/>
        </w:trPr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指标名称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比上年增减（%）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电力、热力的生产和供应业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25.7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非金属矿物制品业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医药制造业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CA4F79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B93F7A"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23.4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农副食品加工业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CA4F79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B93F7A"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24.5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肥料制造业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CA4F79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B93F7A"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26.1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食品制造业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CA4F79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B93F7A"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27.7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CA4F79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="00B93F7A"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87.0 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黑色金属冶炼和压延加工业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-100.0 </w:t>
            </w:r>
          </w:p>
        </w:tc>
      </w:tr>
      <w:tr w:rsidR="00B93F7A" w:rsidRPr="00B93F7A" w:rsidTr="00D63832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有色金属矿采选业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93F7A" w:rsidRPr="00B93F7A" w:rsidRDefault="00B93F7A" w:rsidP="00B93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3F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-100.0 </w:t>
            </w:r>
          </w:p>
        </w:tc>
      </w:tr>
    </w:tbl>
    <w:p w:rsidR="00B93F7A" w:rsidRPr="00222F4D" w:rsidRDefault="00D63832" w:rsidP="00B93F7A">
      <w:pPr>
        <w:widowControl/>
        <w:shd w:val="clear" w:color="auto" w:fill="FFFFFF"/>
        <w:spacing w:before="100" w:beforeAutospacing="1" w:after="100" w:afterAutospacing="1" w:line="360" w:lineRule="auto"/>
        <w:ind w:firstLine="5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222F4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规模以上新能源行业增加值占规模以上工业增加值的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42.6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222F4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，增长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20.4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="00B345C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 w:rsidRPr="00222F4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其中，光伏发电增加值增长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14.0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222F4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、风力发电增加值增长</w:t>
      </w:r>
      <w:r w:rsidR="00560DE1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165.8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222F4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tbl>
      <w:tblPr>
        <w:tblW w:w="7660" w:type="dxa"/>
        <w:tblInd w:w="95" w:type="dxa"/>
        <w:tblLook w:val="04A0"/>
      </w:tblPr>
      <w:tblGrid>
        <w:gridCol w:w="2900"/>
        <w:gridCol w:w="1471"/>
        <w:gridCol w:w="1114"/>
        <w:gridCol w:w="2175"/>
      </w:tblGrid>
      <w:tr w:rsidR="00D63832" w:rsidRPr="00D63832" w:rsidTr="00D63832">
        <w:trPr>
          <w:trHeight w:val="570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383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表6  2018年主要工业产品产量及增长速度</w:t>
            </w:r>
          </w:p>
        </w:tc>
      </w:tr>
      <w:tr w:rsidR="00D63832" w:rsidRPr="00D63832" w:rsidTr="00D63832">
        <w:trPr>
          <w:trHeight w:val="300"/>
        </w:trPr>
        <w:tc>
          <w:tcPr>
            <w:tcW w:w="76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638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3832" w:rsidRPr="00D63832" w:rsidTr="00D63832">
        <w:trPr>
          <w:trHeight w:val="525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产品名称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ind w:firstLineChars="100" w:firstLine="22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比上年增减（%）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发电量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亿千瓦时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294.4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35.1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牛奶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-31.6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酸奶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B34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棉纱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-82.8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甘草次酸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-20</w:t>
            </w:r>
            <w:r w:rsidR="00B34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甘草酸单铵盐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-1.8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饲料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水泥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754418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商品混凝土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立方米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81912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</w:t>
            </w:r>
            <w:r w:rsidR="00B34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鲜、冷藏肉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-60</w:t>
            </w:r>
            <w:r w:rsidR="00B345C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</w:t>
            </w:r>
          </w:p>
        </w:tc>
      </w:tr>
      <w:tr w:rsidR="00D63832" w:rsidRPr="00D63832" w:rsidTr="00D63832">
        <w:trPr>
          <w:trHeight w:val="420"/>
        </w:trPr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冷冻水产品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3832" w:rsidRPr="00D63832" w:rsidRDefault="00D63832" w:rsidP="00D638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6383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-9.9</w:t>
            </w:r>
          </w:p>
        </w:tc>
      </w:tr>
    </w:tbl>
    <w:p w:rsidR="007B60F7" w:rsidRDefault="00D63832" w:rsidP="00D6383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832">
        <w:rPr>
          <w:rFonts w:ascii="仿宋" w:eastAsia="仿宋" w:hAnsi="仿宋" w:cs="Times New Roman"/>
          <w:sz w:val="32"/>
          <w:szCs w:val="32"/>
        </w:rPr>
        <w:t>截至201</w:t>
      </w:r>
      <w:r>
        <w:rPr>
          <w:rFonts w:ascii="仿宋" w:eastAsia="仿宋" w:hAnsi="仿宋" w:hint="eastAsia"/>
          <w:sz w:val="32"/>
          <w:szCs w:val="32"/>
        </w:rPr>
        <w:t>8</w:t>
      </w:r>
      <w:r w:rsidRPr="00D63832">
        <w:rPr>
          <w:rFonts w:ascii="仿宋" w:eastAsia="仿宋" w:hAnsi="仿宋" w:cs="Times New Roman"/>
          <w:sz w:val="32"/>
          <w:szCs w:val="32"/>
        </w:rPr>
        <w:t>年底，全</w:t>
      </w:r>
      <w:r>
        <w:rPr>
          <w:rFonts w:ascii="仿宋" w:eastAsia="仿宋" w:hAnsi="仿宋" w:hint="eastAsia"/>
          <w:sz w:val="32"/>
          <w:szCs w:val="32"/>
        </w:rPr>
        <w:t>州</w:t>
      </w:r>
      <w:r w:rsidR="00560DE1">
        <w:rPr>
          <w:rFonts w:ascii="Arial" w:eastAsia="仿宋" w:hAnsi="Arial" w:cs="Arial" w:hint="eastAsia"/>
          <w:sz w:val="32"/>
          <w:szCs w:val="32"/>
        </w:rPr>
        <w:t>43</w:t>
      </w:r>
      <w:r w:rsidR="007B60F7">
        <w:rPr>
          <w:rFonts w:ascii="仿宋" w:eastAsia="仿宋" w:hAnsi="仿宋" w:hint="eastAsia"/>
          <w:sz w:val="32"/>
          <w:szCs w:val="32"/>
        </w:rPr>
        <w:t>户</w:t>
      </w:r>
      <w:r w:rsidRPr="00D63832">
        <w:rPr>
          <w:rFonts w:ascii="仿宋" w:eastAsia="仿宋" w:hAnsi="仿宋" w:cs="Times New Roman"/>
          <w:sz w:val="32"/>
          <w:szCs w:val="32"/>
        </w:rPr>
        <w:t>规模以上工业企业实现主营业务收入</w:t>
      </w:r>
      <w:r w:rsidR="00560DE1">
        <w:rPr>
          <w:rFonts w:ascii="Arial" w:eastAsia="仿宋" w:hAnsi="Arial" w:cs="Arial" w:hint="eastAsia"/>
          <w:sz w:val="32"/>
          <w:szCs w:val="32"/>
        </w:rPr>
        <w:t>45.7</w:t>
      </w:r>
      <w:r w:rsidRPr="00D63832">
        <w:rPr>
          <w:rFonts w:ascii="仿宋" w:eastAsia="仿宋" w:hAnsi="仿宋" w:cs="Times New Roman"/>
          <w:sz w:val="32"/>
          <w:szCs w:val="32"/>
        </w:rPr>
        <w:t>亿元，</w:t>
      </w:r>
      <w:r>
        <w:rPr>
          <w:rFonts w:ascii="仿宋" w:eastAsia="仿宋" w:hAnsi="仿宋" w:hint="eastAsia"/>
          <w:sz w:val="32"/>
          <w:szCs w:val="32"/>
        </w:rPr>
        <w:t>增长</w:t>
      </w:r>
      <w:r w:rsidR="00560DE1">
        <w:rPr>
          <w:rFonts w:ascii="Arial" w:eastAsia="仿宋" w:hAnsi="Arial" w:cs="Arial" w:hint="eastAsia"/>
          <w:sz w:val="32"/>
          <w:szCs w:val="32"/>
        </w:rPr>
        <w:t>5.3</w:t>
      </w:r>
      <w:r w:rsidRPr="00222F4D">
        <w:rPr>
          <w:rFonts w:ascii="Arial" w:eastAsia="仿宋" w:hAnsi="Arial" w:cs="Arial"/>
          <w:sz w:val="32"/>
          <w:szCs w:val="32"/>
        </w:rPr>
        <w:t>%</w:t>
      </w:r>
      <w:r w:rsidRPr="00D63832">
        <w:rPr>
          <w:rFonts w:ascii="仿宋" w:eastAsia="仿宋" w:hAnsi="仿宋" w:cs="Times New Roman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实现利润总额</w:t>
      </w:r>
      <w:r w:rsidR="00560DE1">
        <w:rPr>
          <w:rFonts w:ascii="Arial" w:eastAsia="仿宋" w:hAnsi="Arial" w:cs="Arial" w:hint="eastAsia"/>
          <w:sz w:val="32"/>
          <w:szCs w:val="32"/>
        </w:rPr>
        <w:t>12.5</w:t>
      </w:r>
      <w:r>
        <w:rPr>
          <w:rFonts w:ascii="仿宋" w:eastAsia="仿宋" w:hAnsi="仿宋" w:hint="eastAsia"/>
          <w:sz w:val="32"/>
          <w:szCs w:val="32"/>
        </w:rPr>
        <w:t>亿元，增长</w:t>
      </w:r>
      <w:r w:rsidR="00560DE1">
        <w:rPr>
          <w:rFonts w:ascii="Arial" w:eastAsia="仿宋" w:hAnsi="Arial" w:cs="Arial" w:hint="eastAsia"/>
          <w:sz w:val="32"/>
          <w:szCs w:val="32"/>
        </w:rPr>
        <w:t>39.7</w:t>
      </w:r>
      <w:r w:rsidR="00222F4D" w:rsidRPr="00222F4D">
        <w:rPr>
          <w:rFonts w:ascii="Arial" w:eastAsia="仿宋" w:hAnsi="Arial" w:cs="Arial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。</w:t>
      </w:r>
      <w:r w:rsidRPr="00D63832">
        <w:rPr>
          <w:rFonts w:ascii="仿宋" w:eastAsia="仿宋" w:hAnsi="仿宋" w:cs="Times New Roman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州</w:t>
      </w:r>
      <w:r w:rsidRPr="00D63832">
        <w:rPr>
          <w:rFonts w:ascii="仿宋" w:eastAsia="仿宋" w:hAnsi="仿宋" w:cs="Times New Roman"/>
          <w:sz w:val="32"/>
          <w:szCs w:val="32"/>
        </w:rPr>
        <w:t>规模以上工业企业利润亏损</w:t>
      </w:r>
      <w:r w:rsidR="00560DE1">
        <w:rPr>
          <w:rFonts w:ascii="Arial" w:eastAsia="仿宋" w:hAnsi="Arial" w:cs="Arial" w:hint="eastAsia"/>
          <w:sz w:val="32"/>
          <w:szCs w:val="32"/>
        </w:rPr>
        <w:t>0.9</w:t>
      </w:r>
      <w:r w:rsidRPr="00D63832">
        <w:rPr>
          <w:rFonts w:ascii="仿宋" w:eastAsia="仿宋" w:hAnsi="仿宋" w:cs="Times New Roman"/>
          <w:sz w:val="32"/>
          <w:szCs w:val="32"/>
        </w:rPr>
        <w:t>亿元，亏</w:t>
      </w:r>
      <w:r w:rsidRPr="00D63832">
        <w:rPr>
          <w:rFonts w:ascii="仿宋" w:eastAsia="仿宋" w:hAnsi="仿宋" w:cs="Times New Roman"/>
          <w:sz w:val="32"/>
          <w:szCs w:val="32"/>
        </w:rPr>
        <w:lastRenderedPageBreak/>
        <w:t>损企业</w:t>
      </w:r>
      <w:r w:rsidR="00560DE1">
        <w:rPr>
          <w:rFonts w:ascii="Arial" w:eastAsia="仿宋" w:hAnsi="Arial" w:cs="Arial" w:hint="eastAsia"/>
          <w:sz w:val="32"/>
          <w:szCs w:val="32"/>
        </w:rPr>
        <w:t>8</w:t>
      </w:r>
      <w:r w:rsidRPr="00D63832">
        <w:rPr>
          <w:rFonts w:ascii="仿宋" w:eastAsia="仿宋" w:hAnsi="仿宋" w:cs="Times New Roman"/>
          <w:sz w:val="32"/>
          <w:szCs w:val="32"/>
        </w:rPr>
        <w:t>户，亏损面</w:t>
      </w:r>
      <w:r w:rsidR="00560DE1">
        <w:rPr>
          <w:rFonts w:ascii="Arial" w:eastAsia="仿宋" w:hAnsi="Arial" w:cs="Arial" w:hint="eastAsia"/>
          <w:sz w:val="32"/>
          <w:szCs w:val="32"/>
        </w:rPr>
        <w:t>21.6</w:t>
      </w:r>
      <w:r w:rsidRPr="00222F4D">
        <w:rPr>
          <w:rFonts w:ascii="Arial" w:eastAsia="仿宋" w:hAnsi="Arial" w:cs="Arial"/>
          <w:sz w:val="32"/>
          <w:szCs w:val="32"/>
        </w:rPr>
        <w:t>%</w:t>
      </w:r>
      <w:r w:rsidRPr="00D63832">
        <w:rPr>
          <w:rFonts w:ascii="仿宋" w:eastAsia="仿宋" w:hAnsi="仿宋" w:cs="Times New Roman"/>
          <w:sz w:val="32"/>
          <w:szCs w:val="32"/>
        </w:rPr>
        <w:t>。</w:t>
      </w:r>
    </w:p>
    <w:p w:rsidR="003457A1" w:rsidRDefault="00B669D2" w:rsidP="00D6383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全年全州建筑业</w:t>
      </w:r>
      <w:r w:rsidR="00675635">
        <w:rPr>
          <w:rFonts w:ascii="仿宋" w:eastAsia="仿宋" w:hAnsi="仿宋" w:hint="eastAsia"/>
          <w:color w:val="000000"/>
          <w:sz w:val="32"/>
          <w:szCs w:val="32"/>
        </w:rPr>
        <w:t>增加值</w:t>
      </w:r>
      <w:r w:rsidR="00675635">
        <w:rPr>
          <w:rFonts w:ascii="Arial" w:hAnsi="Arial" w:cs="Arial" w:hint="eastAsia"/>
          <w:color w:val="000000"/>
          <w:sz w:val="32"/>
          <w:szCs w:val="32"/>
        </w:rPr>
        <w:t>16.2</w:t>
      </w:r>
      <w:r>
        <w:rPr>
          <w:rFonts w:ascii="仿宋" w:eastAsia="仿宋" w:hAnsi="仿宋" w:hint="eastAsia"/>
          <w:color w:val="000000"/>
          <w:sz w:val="32"/>
          <w:szCs w:val="32"/>
        </w:rPr>
        <w:t>亿元，比上年</w:t>
      </w:r>
      <w:r w:rsidR="00675635">
        <w:rPr>
          <w:rFonts w:ascii="仿宋" w:eastAsia="仿宋" w:hAnsi="仿宋" w:hint="eastAsia"/>
          <w:color w:val="000000"/>
          <w:sz w:val="32"/>
          <w:szCs w:val="32"/>
        </w:rPr>
        <w:t>下降</w:t>
      </w:r>
      <w:r w:rsidR="00675635" w:rsidRPr="00011A59">
        <w:rPr>
          <w:rFonts w:ascii="Arial" w:eastAsia="仿宋" w:hAnsi="Arial" w:cs="Arial"/>
          <w:color w:val="000000"/>
          <w:sz w:val="32"/>
          <w:szCs w:val="32"/>
        </w:rPr>
        <w:t>24.1</w:t>
      </w:r>
      <w:r>
        <w:rPr>
          <w:rFonts w:ascii="Arial" w:hAnsi="Arial" w:cs="Arial"/>
          <w:color w:val="000000"/>
          <w:sz w:val="32"/>
          <w:szCs w:val="32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675635">
        <w:rPr>
          <w:rFonts w:ascii="仿宋" w:eastAsia="仿宋" w:hAnsi="仿宋" w:hint="eastAsia"/>
          <w:color w:val="000000"/>
          <w:sz w:val="32"/>
          <w:szCs w:val="32"/>
        </w:rPr>
        <w:t>年末全州</w:t>
      </w:r>
      <w:r w:rsidR="00CB4BE4">
        <w:rPr>
          <w:rFonts w:ascii="仿宋" w:eastAsia="仿宋" w:hAnsi="仿宋" w:hint="eastAsia"/>
          <w:color w:val="000000"/>
          <w:sz w:val="32"/>
          <w:szCs w:val="32"/>
        </w:rPr>
        <w:t>具有资质等级的总承包和专业承包建筑企业</w:t>
      </w:r>
      <w:r w:rsidR="00343A59">
        <w:rPr>
          <w:rFonts w:ascii="Arial" w:eastAsia="仿宋" w:hAnsi="Arial" w:cs="Arial" w:hint="eastAsia"/>
          <w:color w:val="000000"/>
          <w:sz w:val="32"/>
          <w:szCs w:val="32"/>
        </w:rPr>
        <w:t>24</w:t>
      </w:r>
      <w:r w:rsidR="00CB4BE4">
        <w:rPr>
          <w:rFonts w:ascii="仿宋" w:eastAsia="仿宋" w:hAnsi="仿宋" w:hint="eastAsia"/>
          <w:color w:val="000000"/>
          <w:sz w:val="32"/>
          <w:szCs w:val="32"/>
        </w:rPr>
        <w:t>个，</w:t>
      </w:r>
      <w:r w:rsidR="00F34C37">
        <w:rPr>
          <w:rFonts w:ascii="仿宋" w:eastAsia="仿宋" w:hAnsi="仿宋" w:hint="eastAsia"/>
          <w:color w:val="000000"/>
          <w:sz w:val="32"/>
          <w:szCs w:val="32"/>
        </w:rPr>
        <w:t>比上年末增加</w:t>
      </w:r>
      <w:r w:rsidR="00F34C37" w:rsidRPr="00011A59">
        <w:rPr>
          <w:rFonts w:ascii="Arial" w:eastAsia="仿宋" w:hAnsi="Arial" w:cs="Arial"/>
          <w:color w:val="000000"/>
          <w:sz w:val="32"/>
          <w:szCs w:val="32"/>
        </w:rPr>
        <w:t xml:space="preserve"> </w:t>
      </w:r>
      <w:r w:rsidR="00343A59" w:rsidRPr="00011A59">
        <w:rPr>
          <w:rFonts w:ascii="Arial" w:eastAsia="仿宋" w:hAnsi="Arial" w:cs="Arial"/>
          <w:color w:val="000000"/>
          <w:sz w:val="32"/>
          <w:szCs w:val="32"/>
        </w:rPr>
        <w:t>6</w:t>
      </w:r>
      <w:r w:rsidR="00F34C37">
        <w:rPr>
          <w:rFonts w:ascii="仿宋" w:eastAsia="仿宋" w:hAnsi="仿宋" w:hint="eastAsia"/>
          <w:color w:val="000000"/>
          <w:sz w:val="32"/>
          <w:szCs w:val="32"/>
        </w:rPr>
        <w:t>个，</w:t>
      </w:r>
      <w:r w:rsidR="00CB4BE4">
        <w:rPr>
          <w:rFonts w:ascii="仿宋" w:eastAsia="仿宋" w:hAnsi="仿宋" w:hint="eastAsia"/>
          <w:color w:val="000000"/>
          <w:sz w:val="32"/>
          <w:szCs w:val="32"/>
        </w:rPr>
        <w:t>劳务分包</w:t>
      </w:r>
      <w:r w:rsidR="00CB4BE4" w:rsidRPr="00222F4D">
        <w:rPr>
          <w:rFonts w:ascii="Arial" w:eastAsia="仿宋" w:hAnsi="Arial" w:cs="Arial"/>
          <w:color w:val="000000"/>
          <w:sz w:val="32"/>
          <w:szCs w:val="32"/>
        </w:rPr>
        <w:t xml:space="preserve"> </w:t>
      </w:r>
      <w:r w:rsidR="00343A59">
        <w:rPr>
          <w:rFonts w:ascii="Arial" w:eastAsia="仿宋" w:hAnsi="Arial" w:cs="Arial" w:hint="eastAsia"/>
          <w:color w:val="000000"/>
          <w:sz w:val="32"/>
          <w:szCs w:val="32"/>
        </w:rPr>
        <w:t>2</w:t>
      </w:r>
      <w:r w:rsidR="00CB4BE4">
        <w:rPr>
          <w:rFonts w:ascii="仿宋" w:eastAsia="仿宋" w:hAnsi="仿宋" w:hint="eastAsia"/>
          <w:color w:val="000000"/>
          <w:sz w:val="32"/>
          <w:szCs w:val="32"/>
        </w:rPr>
        <w:t>个</w:t>
      </w:r>
      <w:r w:rsidR="00F34C37">
        <w:rPr>
          <w:rFonts w:ascii="仿宋" w:eastAsia="仿宋" w:hAnsi="仿宋" w:hint="eastAsia"/>
          <w:color w:val="000000"/>
          <w:sz w:val="32"/>
          <w:szCs w:val="32"/>
        </w:rPr>
        <w:t xml:space="preserve">，比上年末增加 </w:t>
      </w:r>
      <w:r w:rsidR="00343A59" w:rsidRPr="00011A59">
        <w:rPr>
          <w:rFonts w:ascii="Arial" w:eastAsia="仿宋" w:hAnsi="Arial" w:cs="Arial"/>
          <w:color w:val="000000"/>
          <w:sz w:val="32"/>
          <w:szCs w:val="32"/>
        </w:rPr>
        <w:t>1</w:t>
      </w:r>
      <w:r w:rsidR="00F34C37">
        <w:rPr>
          <w:rFonts w:ascii="仿宋" w:eastAsia="仿宋" w:hAnsi="仿宋" w:hint="eastAsia"/>
          <w:color w:val="000000"/>
          <w:sz w:val="32"/>
          <w:szCs w:val="32"/>
        </w:rPr>
        <w:t>个</w:t>
      </w:r>
      <w:r w:rsidR="00CB4BE4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358B0" w:rsidRDefault="00A358B0" w:rsidP="00D63832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37392B" w:rsidRPr="00A358B0" w:rsidRDefault="0037392B" w:rsidP="00B345C7">
      <w:pPr>
        <w:pStyle w:val="a5"/>
        <w:widowControl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37392B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固定资产投资与房地产开发</w:t>
      </w:r>
    </w:p>
    <w:p w:rsidR="00A358B0" w:rsidRPr="0037392B" w:rsidRDefault="00A358B0" w:rsidP="00A358B0">
      <w:pPr>
        <w:pStyle w:val="a5"/>
        <w:widowControl/>
        <w:spacing w:line="560" w:lineRule="exact"/>
        <w:ind w:left="720" w:firstLineChars="0" w:firstLine="0"/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</w:pPr>
    </w:p>
    <w:p w:rsidR="00221420" w:rsidRDefault="0037392B" w:rsidP="00C64032">
      <w:pPr>
        <w:widowControl/>
        <w:shd w:val="clear" w:color="auto" w:fill="FFFFFF"/>
        <w:spacing w:line="560" w:lineRule="exact"/>
        <w:ind w:firstLine="641"/>
        <w:jc w:val="left"/>
        <w:rPr>
          <w:rFonts w:ascii="仿宋" w:eastAsia="仿宋" w:hAnsi="仿宋" w:cs="Times New Roman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全年全州全社会固定资产投资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同口径增长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24.0%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。其中，州属固定资产投资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26.3%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。在全社会固定资产投资中，按投资类型分，国有及国有控股投资</w:t>
      </w:r>
      <w:r w:rsidR="001C656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="00343A5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32.4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；民间投资</w:t>
      </w:r>
      <w:r w:rsidR="001C656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="001C656C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8.2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。按产业分，</w:t>
      </w:r>
      <w:r w:rsidRPr="000B7E03">
        <w:rPr>
          <w:rFonts w:ascii="仿宋" w:eastAsia="仿宋" w:hAnsi="仿宋" w:cs="Times New Roman" w:hint="eastAsia"/>
          <w:sz w:val="32"/>
          <w:szCs w:val="32"/>
        </w:rPr>
        <w:t>第一产业投资</w:t>
      </w:r>
      <w:r w:rsidR="001C656C">
        <w:rPr>
          <w:rFonts w:ascii="仿宋" w:eastAsia="仿宋" w:hAnsi="仿宋" w:hint="eastAsia"/>
          <w:sz w:val="32"/>
          <w:szCs w:val="32"/>
        </w:rPr>
        <w:t>下降</w:t>
      </w:r>
      <w:r w:rsidR="001C656C" w:rsidRPr="00222F4D">
        <w:rPr>
          <w:rFonts w:ascii="Arial" w:eastAsia="仿宋" w:hAnsi="Arial" w:cs="Arial"/>
          <w:sz w:val="32"/>
          <w:szCs w:val="32"/>
        </w:rPr>
        <w:t>1.1</w:t>
      </w:r>
      <w:r w:rsidRPr="00222F4D">
        <w:rPr>
          <w:rFonts w:ascii="Arial" w:eastAsia="仿宋" w:hAnsi="Arial" w:cs="Arial"/>
          <w:sz w:val="32"/>
          <w:szCs w:val="32"/>
        </w:rPr>
        <w:t>%</w:t>
      </w:r>
      <w:r w:rsidRPr="000B7E03">
        <w:rPr>
          <w:rFonts w:ascii="仿宋" w:eastAsia="仿宋" w:hAnsi="仿宋" w:cs="Times New Roman" w:hint="eastAsia"/>
          <w:sz w:val="32"/>
          <w:szCs w:val="32"/>
        </w:rPr>
        <w:t>；第二产业投资</w:t>
      </w:r>
      <w:r w:rsidR="001C656C">
        <w:rPr>
          <w:rFonts w:ascii="仿宋" w:eastAsia="仿宋" w:hAnsi="仿宋" w:hint="eastAsia"/>
          <w:sz w:val="32"/>
          <w:szCs w:val="32"/>
        </w:rPr>
        <w:t>增长</w:t>
      </w:r>
      <w:r w:rsidR="001C656C" w:rsidRPr="00222F4D">
        <w:rPr>
          <w:rFonts w:ascii="Arial" w:eastAsia="仿宋" w:hAnsi="Arial" w:cs="Arial"/>
          <w:sz w:val="32"/>
          <w:szCs w:val="32"/>
        </w:rPr>
        <w:t>54.1</w:t>
      </w:r>
      <w:r w:rsidRPr="00222F4D">
        <w:rPr>
          <w:rFonts w:ascii="Arial" w:eastAsia="仿宋" w:hAnsi="Arial" w:cs="Arial"/>
          <w:sz w:val="32"/>
          <w:szCs w:val="32"/>
        </w:rPr>
        <w:t>%</w:t>
      </w:r>
      <w:r w:rsidRPr="000B7E03">
        <w:rPr>
          <w:rFonts w:ascii="仿宋" w:eastAsia="仿宋" w:hAnsi="仿宋" w:cs="Times New Roman" w:hint="eastAsia"/>
          <w:sz w:val="32"/>
          <w:szCs w:val="32"/>
        </w:rPr>
        <w:t>，其中，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新能源发电行业投资</w:t>
      </w:r>
      <w:r w:rsidR="001C656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增长</w:t>
      </w:r>
      <w:r w:rsidR="001C656C"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60.5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Times New Roman" w:hint="eastAsia"/>
          <w:sz w:val="32"/>
          <w:szCs w:val="32"/>
        </w:rPr>
        <w:t>；第三产业投资</w:t>
      </w:r>
      <w:r w:rsidR="001C656C">
        <w:rPr>
          <w:rFonts w:ascii="仿宋" w:eastAsia="仿宋" w:hAnsi="仿宋" w:hint="eastAsia"/>
          <w:sz w:val="32"/>
          <w:szCs w:val="32"/>
        </w:rPr>
        <w:t>下降</w:t>
      </w:r>
      <w:r w:rsidR="001C656C" w:rsidRPr="00222F4D">
        <w:rPr>
          <w:rFonts w:ascii="Arial" w:eastAsia="仿宋" w:hAnsi="Arial" w:cs="Arial"/>
          <w:sz w:val="32"/>
          <w:szCs w:val="32"/>
        </w:rPr>
        <w:t>15.0</w:t>
      </w:r>
      <w:r w:rsidRPr="00222F4D">
        <w:rPr>
          <w:rFonts w:ascii="Arial" w:eastAsia="仿宋" w:hAnsi="Arial" w:cs="Arial"/>
          <w:sz w:val="32"/>
          <w:szCs w:val="32"/>
        </w:rPr>
        <w:t>%</w:t>
      </w:r>
      <w:r w:rsidRPr="000B7E03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37392B" w:rsidRDefault="0037392B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</w:p>
    <w:p w:rsidR="00343A59" w:rsidRDefault="00343A59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</w:p>
    <w:p w:rsidR="00343A59" w:rsidRDefault="00343A59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-797560</wp:posOffset>
            </wp:positionV>
            <wp:extent cx="5271135" cy="2719070"/>
            <wp:effectExtent l="0" t="0" r="0" b="0"/>
            <wp:wrapNone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43A59" w:rsidRDefault="00343A59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</w:p>
    <w:p w:rsidR="00343A59" w:rsidRDefault="00343A59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</w:p>
    <w:p w:rsidR="00343A59" w:rsidRDefault="00343A59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</w:p>
    <w:p w:rsidR="00343A59" w:rsidRDefault="00343A59" w:rsidP="00221420">
      <w:pPr>
        <w:ind w:firstLineChars="200" w:firstLine="640"/>
        <w:rPr>
          <w:rFonts w:ascii="仿宋" w:eastAsia="仿宋" w:hAnsi="仿宋"/>
          <w:noProof/>
          <w:color w:val="000000"/>
          <w:sz w:val="32"/>
          <w:szCs w:val="32"/>
        </w:rPr>
      </w:pPr>
    </w:p>
    <w:p w:rsidR="00221420" w:rsidRPr="000B7E03" w:rsidRDefault="00221420" w:rsidP="00C64032">
      <w:pPr>
        <w:widowControl/>
        <w:spacing w:line="560" w:lineRule="exact"/>
        <w:ind w:firstLine="539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全年全州房地产开发投资比上年下降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24.3%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。房屋施工面积</w:t>
      </w:r>
      <w:r w:rsidR="00343A59" w:rsidRPr="00343A59">
        <w:rPr>
          <w:rFonts w:ascii="Arial" w:eastAsia="仿宋" w:hAnsi="Arial" w:cs="Arial"/>
          <w:color w:val="000000"/>
          <w:kern w:val="0"/>
          <w:sz w:val="32"/>
          <w:szCs w:val="32"/>
        </w:rPr>
        <w:t>6.63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万平方米，下降</w:t>
      </w:r>
      <w:r w:rsidR="00343A5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20.1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；商品房销售面积</w:t>
      </w:r>
      <w:r w:rsidR="00343A5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0.78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万平方米，</w:t>
      </w:r>
      <w:r w:rsidR="00343A5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下降</w:t>
      </w:r>
      <w:r w:rsidR="00343A59" w:rsidRPr="00343A59">
        <w:rPr>
          <w:rFonts w:ascii="Arial" w:eastAsia="仿宋" w:hAnsi="Arial" w:cs="Arial"/>
          <w:color w:val="000000"/>
          <w:kern w:val="0"/>
          <w:sz w:val="32"/>
          <w:szCs w:val="32"/>
        </w:rPr>
        <w:t>78.6</w:t>
      </w:r>
      <w:r w:rsidRPr="00222F4D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；商品房销售额</w:t>
      </w:r>
      <w:r w:rsidR="00343A59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0.24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</w:t>
      </w:r>
      <w:r w:rsidR="00343A59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下降</w:t>
      </w:r>
      <w:r w:rsidR="00343A59" w:rsidRPr="00011A59">
        <w:rPr>
          <w:rFonts w:ascii="Arial" w:eastAsia="仿宋" w:hAnsi="Arial" w:cs="Arial"/>
          <w:color w:val="000000"/>
          <w:kern w:val="0"/>
          <w:sz w:val="32"/>
          <w:szCs w:val="32"/>
        </w:rPr>
        <w:t>76.7</w:t>
      </w:r>
      <w:r w:rsidRPr="00011A59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tbl>
      <w:tblPr>
        <w:tblW w:w="6760" w:type="dxa"/>
        <w:tblInd w:w="778" w:type="dxa"/>
        <w:tblLook w:val="04A0"/>
      </w:tblPr>
      <w:tblGrid>
        <w:gridCol w:w="4120"/>
        <w:gridCol w:w="2640"/>
      </w:tblGrid>
      <w:tr w:rsidR="00343A59" w:rsidRPr="00343A59" w:rsidTr="00343A59">
        <w:trPr>
          <w:trHeight w:val="735"/>
        </w:trPr>
        <w:tc>
          <w:tcPr>
            <w:tcW w:w="6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3A5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表7  2018年分行业全社会固定资产投资增长速度</w:t>
            </w:r>
          </w:p>
        </w:tc>
      </w:tr>
      <w:tr w:rsidR="00343A59" w:rsidRPr="00343A59" w:rsidTr="00343A59">
        <w:trPr>
          <w:trHeight w:val="330"/>
        </w:trPr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4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4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3A59" w:rsidRPr="00343A59" w:rsidTr="00343A59">
        <w:trPr>
          <w:trHeight w:val="315"/>
        </w:trPr>
        <w:tc>
          <w:tcPr>
            <w:tcW w:w="41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行业名称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比上年增减（%）</w:t>
            </w:r>
          </w:p>
        </w:tc>
      </w:tr>
      <w:tr w:rsidR="00343A59" w:rsidRPr="00343A59" w:rsidTr="00343A59">
        <w:trPr>
          <w:trHeight w:val="312"/>
        </w:trPr>
        <w:tc>
          <w:tcPr>
            <w:tcW w:w="41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3A59" w:rsidRPr="00343A59" w:rsidRDefault="00343A59" w:rsidP="00343A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43A59" w:rsidRPr="00343A59" w:rsidRDefault="00343A59" w:rsidP="00343A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农林牧渔业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-1.1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电力、燃气及水的生产和供应业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57.8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-26.5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采矿业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1.1倍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-43.4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41.3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水利、环境和公共设施管理业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-3.4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交通运输、仓储业邮政业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-41.1</w:t>
            </w:r>
          </w:p>
        </w:tc>
      </w:tr>
      <w:tr w:rsidR="00343A59" w:rsidRPr="00343A59" w:rsidTr="00343A59">
        <w:trPr>
          <w:trHeight w:val="420"/>
        </w:trPr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43A59" w:rsidRPr="00343A59" w:rsidRDefault="00343A59" w:rsidP="00343A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文化、体育和娱乐业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A59" w:rsidRPr="00343A59" w:rsidRDefault="00343A59" w:rsidP="00343A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3A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2.9倍</w:t>
            </w:r>
          </w:p>
        </w:tc>
      </w:tr>
    </w:tbl>
    <w:p w:rsidR="00343A59" w:rsidRDefault="00343A59" w:rsidP="00343A59">
      <w:pPr>
        <w:jc w:val="left"/>
        <w:rPr>
          <w:rFonts w:ascii="仿宋" w:eastAsia="仿宋" w:hAnsi="仿宋"/>
        </w:rPr>
      </w:pPr>
    </w:p>
    <w:p w:rsidR="0034347F" w:rsidRPr="00F34C37" w:rsidRDefault="0034347F" w:rsidP="00F34C37">
      <w:pPr>
        <w:pStyle w:val="a5"/>
        <w:widowControl/>
        <w:numPr>
          <w:ilvl w:val="0"/>
          <w:numId w:val="3"/>
        </w:numPr>
        <w:spacing w:line="500" w:lineRule="exact"/>
        <w:ind w:firstLineChars="0"/>
        <w:rPr>
          <w:rFonts w:ascii="黑体" w:eastAsia="黑体" w:hAnsi="黑体"/>
          <w:b/>
          <w:bCs/>
          <w:kern w:val="0"/>
          <w:sz w:val="32"/>
          <w:szCs w:val="32"/>
        </w:rPr>
      </w:pPr>
      <w:r w:rsidRPr="00F34C37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国内贸易</w:t>
      </w:r>
    </w:p>
    <w:p w:rsidR="00F34C37" w:rsidRPr="0034347F" w:rsidRDefault="00F34C37" w:rsidP="00F34C37">
      <w:pPr>
        <w:pStyle w:val="a5"/>
        <w:widowControl/>
        <w:spacing w:line="500" w:lineRule="exact"/>
        <w:ind w:left="720" w:firstLineChars="0" w:firstLine="0"/>
        <w:rPr>
          <w:rFonts w:ascii="仿宋" w:eastAsia="仿宋" w:hAnsi="仿宋"/>
          <w:b/>
          <w:bCs/>
          <w:kern w:val="0"/>
          <w:sz w:val="32"/>
          <w:szCs w:val="32"/>
        </w:rPr>
      </w:pPr>
    </w:p>
    <w:p w:rsidR="00513F68" w:rsidRDefault="0034347F" w:rsidP="00C64032">
      <w:pPr>
        <w:widowControl/>
        <w:spacing w:line="560" w:lineRule="exact"/>
        <w:ind w:firstLine="539"/>
        <w:jc w:val="left"/>
        <w:rPr>
          <w:rFonts w:ascii="仿宋" w:eastAsia="仿宋" w:hAnsi="仿宋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全年全州社会消费品零售总额</w:t>
      </w:r>
      <w:r w:rsidRPr="00222F4D">
        <w:rPr>
          <w:rFonts w:ascii="Arial" w:eastAsia="仿宋" w:hAnsi="Arial" w:cs="Arial"/>
          <w:kern w:val="0"/>
          <w:sz w:val="32"/>
          <w:szCs w:val="32"/>
        </w:rPr>
        <w:t>32.31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亿元，比上年增长</w:t>
      </w:r>
      <w:r w:rsidRPr="00222F4D">
        <w:rPr>
          <w:rFonts w:ascii="Arial" w:eastAsia="仿宋" w:hAnsi="Arial" w:cs="Arial"/>
          <w:kern w:val="0"/>
          <w:sz w:val="32"/>
          <w:szCs w:val="32"/>
        </w:rPr>
        <w:t>6.8%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。按经营地分，城镇消费品零售额</w:t>
      </w:r>
      <w:r w:rsidRPr="00222F4D">
        <w:rPr>
          <w:rFonts w:ascii="Arial" w:eastAsia="仿宋" w:hAnsi="Arial" w:cs="Arial"/>
          <w:kern w:val="0"/>
          <w:sz w:val="32"/>
          <w:szCs w:val="32"/>
        </w:rPr>
        <w:t>21.94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222F4D">
        <w:rPr>
          <w:rFonts w:ascii="Arial" w:eastAsia="仿宋" w:hAnsi="Arial" w:cs="Arial"/>
          <w:kern w:val="0"/>
          <w:sz w:val="32"/>
          <w:szCs w:val="32"/>
        </w:rPr>
        <w:t>8.0%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；乡村消费品零售额</w:t>
      </w:r>
      <w:r w:rsidRPr="00222F4D">
        <w:rPr>
          <w:rFonts w:ascii="Arial" w:eastAsia="仿宋" w:hAnsi="Arial" w:cs="Arial"/>
          <w:kern w:val="0"/>
          <w:sz w:val="32"/>
          <w:szCs w:val="32"/>
        </w:rPr>
        <w:t>10.37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222F4D">
        <w:rPr>
          <w:rFonts w:ascii="Arial" w:eastAsia="仿宋" w:hAnsi="Arial" w:cs="Arial"/>
          <w:kern w:val="0"/>
          <w:sz w:val="32"/>
          <w:szCs w:val="32"/>
        </w:rPr>
        <w:t>4.3%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。按行业分，批发业消费品零售额</w:t>
      </w:r>
      <w:r w:rsidRPr="00F96822">
        <w:rPr>
          <w:rFonts w:ascii="Arial" w:eastAsia="仿宋" w:hAnsi="Arial" w:cs="Arial"/>
          <w:kern w:val="0"/>
          <w:sz w:val="32"/>
          <w:szCs w:val="32"/>
        </w:rPr>
        <w:t>3.37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F96822">
        <w:rPr>
          <w:rFonts w:ascii="Arial" w:eastAsia="仿宋" w:hAnsi="Arial" w:cs="Arial"/>
          <w:kern w:val="0"/>
          <w:sz w:val="32"/>
          <w:szCs w:val="32"/>
        </w:rPr>
        <w:t>6.4%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；零售业</w:t>
      </w:r>
      <w:r w:rsidRPr="00F96822">
        <w:rPr>
          <w:rFonts w:ascii="Arial" w:eastAsia="仿宋" w:hAnsi="Arial" w:cs="Arial"/>
          <w:kern w:val="0"/>
          <w:sz w:val="32"/>
          <w:szCs w:val="32"/>
        </w:rPr>
        <w:t>24.91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F96822">
        <w:rPr>
          <w:rFonts w:ascii="Arial" w:eastAsia="仿宋" w:hAnsi="Arial" w:cs="Arial"/>
          <w:kern w:val="0"/>
          <w:sz w:val="32"/>
          <w:szCs w:val="32"/>
        </w:rPr>
        <w:t>6.0%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；住宿业</w:t>
      </w:r>
      <w:r w:rsidRPr="00F96822">
        <w:rPr>
          <w:rFonts w:ascii="Arial" w:eastAsia="仿宋" w:hAnsi="Arial" w:cs="Arial"/>
          <w:kern w:val="0"/>
          <w:sz w:val="32"/>
          <w:szCs w:val="32"/>
        </w:rPr>
        <w:t>0.32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F96822">
        <w:rPr>
          <w:rFonts w:ascii="Arial" w:eastAsia="仿宋" w:hAnsi="Arial" w:cs="Arial"/>
          <w:kern w:val="0"/>
          <w:sz w:val="32"/>
          <w:szCs w:val="32"/>
        </w:rPr>
        <w:t>49.3%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餐饮业</w:t>
      </w:r>
      <w:r w:rsidRPr="00F96822">
        <w:rPr>
          <w:rFonts w:ascii="Arial" w:eastAsia="仿宋" w:hAnsi="Arial" w:cs="Arial"/>
          <w:kern w:val="0"/>
          <w:sz w:val="32"/>
          <w:szCs w:val="32"/>
        </w:rPr>
        <w:t>3.71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Pr="00F96822">
        <w:rPr>
          <w:rFonts w:ascii="Arial" w:eastAsia="仿宋" w:hAnsi="Arial" w:cs="Arial"/>
          <w:kern w:val="0"/>
          <w:sz w:val="32"/>
          <w:szCs w:val="32"/>
        </w:rPr>
        <w:t>10.4%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513F68" w:rsidRPr="00513F68" w:rsidRDefault="00BD0725" w:rsidP="00513F68">
      <w:pPr>
        <w:rPr>
          <w:rFonts w:ascii="仿宋" w:eastAsia="仿宋" w:hAnsi="仿宋"/>
        </w:rPr>
      </w:pPr>
      <w:r w:rsidRPr="00BD0725">
        <w:rPr>
          <w:rFonts w:ascii="仿宋" w:eastAsia="仿宋" w:hAnsi="仿宋"/>
          <w:noProof/>
        </w:rPr>
        <w:lastRenderedPageBreak/>
        <w:drawing>
          <wp:inline distT="0" distB="0" distL="0" distR="0">
            <wp:extent cx="5276850" cy="3171825"/>
            <wp:effectExtent l="0" t="0" r="0" b="0"/>
            <wp:docPr id="18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4C37" w:rsidRPr="00F34C37" w:rsidRDefault="00F34C37" w:rsidP="00F34C37">
      <w:pPr>
        <w:pStyle w:val="a5"/>
        <w:widowControl/>
        <w:spacing w:line="300" w:lineRule="exact"/>
        <w:ind w:left="3697" w:right="23" w:firstLineChars="0" w:firstLine="0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513F68" w:rsidRPr="00F34C37" w:rsidRDefault="00513F68" w:rsidP="00F34C37">
      <w:pPr>
        <w:pStyle w:val="a5"/>
        <w:widowControl/>
        <w:numPr>
          <w:ilvl w:val="0"/>
          <w:numId w:val="3"/>
        </w:numPr>
        <w:spacing w:line="300" w:lineRule="exact"/>
        <w:ind w:right="23" w:firstLineChars="0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  <w:r w:rsidRPr="00F34C37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交通、邮电和旅游</w:t>
      </w:r>
    </w:p>
    <w:p w:rsidR="00513F68" w:rsidRPr="000B7E03" w:rsidRDefault="00513F68" w:rsidP="00513F68">
      <w:pPr>
        <w:pStyle w:val="a5"/>
        <w:widowControl/>
        <w:spacing w:line="300" w:lineRule="exact"/>
        <w:ind w:left="720" w:right="23" w:firstLineChars="0" w:firstLine="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513F68" w:rsidRPr="000B7E03" w:rsidRDefault="00513F68" w:rsidP="00C64032">
      <w:pPr>
        <w:widowControl/>
        <w:spacing w:line="560" w:lineRule="exact"/>
        <w:ind w:right="23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全年全州交通运输、仓储和邮政业增加值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4.44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亿元，比上年增长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4.4%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。年末全州公路通车里程</w:t>
      </w:r>
      <w:r w:rsidR="00AB264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12416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公里，</w:t>
      </w:r>
      <w:r w:rsidR="00F34C3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比上年末增加</w:t>
      </w:r>
      <w:r w:rsidR="00AB264E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112</w:t>
      </w:r>
      <w:r w:rsidR="00F34C3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公里，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="00AB264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0.9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A5A95" w:rsidRPr="000B7E03" w:rsidRDefault="00513F68" w:rsidP="00C64032">
      <w:pPr>
        <w:widowControl/>
        <w:spacing w:line="560" w:lineRule="exact"/>
        <w:ind w:right="23"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年末全州营运车辆保有量</w:t>
      </w:r>
      <w:r w:rsidR="0053726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3820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辆，其中，公路旅客营运车</w:t>
      </w:r>
      <w:r w:rsidR="00AB264E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136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辆，公路货物营运车</w:t>
      </w:r>
      <w:r w:rsidR="0053726A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3684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辆。</w:t>
      </w:r>
    </w:p>
    <w:p w:rsidR="00513F68" w:rsidRPr="000B7E03" w:rsidRDefault="00513F68" w:rsidP="00C64032">
      <w:pPr>
        <w:widowControl/>
        <w:spacing w:line="560" w:lineRule="exact"/>
        <w:ind w:right="23" w:firstLine="142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B7E03">
        <w:rPr>
          <w:rFonts w:ascii="仿宋" w:eastAsia="仿宋"/>
          <w:color w:val="FF0000"/>
          <w:kern w:val="0"/>
          <w:sz w:val="24"/>
          <w:szCs w:val="24"/>
        </w:rPr>
        <w:t> </w:t>
      </w:r>
      <w:r w:rsidRPr="000B7E03">
        <w:rPr>
          <w:rFonts w:ascii="仿宋" w:eastAsia="仿宋" w:hAnsi="仿宋" w:cs="宋体"/>
          <w:color w:val="000000"/>
          <w:kern w:val="0"/>
          <w:sz w:val="24"/>
          <w:szCs w:val="24"/>
        </w:rPr>
        <w:t xml:space="preserve">  </w:t>
      </w:r>
      <w:r w:rsidRPr="000B7E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全年全州邮电业务总量达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3.22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亿元，下降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9.0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。其中：邮政业务量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0.18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亿元，增长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10.5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；通讯业务量</w:t>
      </w:r>
      <w:r w:rsidR="00500007"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3.04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亿元，下降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10.1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。年末移动电话用户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44.96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万户，</w:t>
      </w:r>
      <w:r w:rsidR="0006489C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增长</w:t>
      </w:r>
      <w:r w:rsidR="0006489C" w:rsidRPr="0006489C">
        <w:rPr>
          <w:rFonts w:ascii="Arial" w:eastAsia="仿宋" w:hAnsi="Arial" w:cs="Arial"/>
          <w:color w:val="000000"/>
          <w:kern w:val="0"/>
          <w:sz w:val="32"/>
          <w:szCs w:val="32"/>
        </w:rPr>
        <w:t>6.0</w:t>
      </w:r>
      <w:r w:rsidR="00500007"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；固定电话用户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4.67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万户，增长</w:t>
      </w:r>
      <w:r w:rsidR="0006489C">
        <w:rPr>
          <w:rFonts w:ascii="Arial" w:eastAsia="仿宋" w:hAnsi="Arial" w:cs="Arial" w:hint="eastAsia"/>
          <w:color w:val="000000"/>
          <w:kern w:val="0"/>
          <w:sz w:val="32"/>
          <w:szCs w:val="32"/>
        </w:rPr>
        <w:t>13.3</w:t>
      </w:r>
      <w:r w:rsidRPr="00F96822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513F68" w:rsidRDefault="00513F68" w:rsidP="00C64032">
      <w:pPr>
        <w:widowControl/>
        <w:spacing w:line="560" w:lineRule="exact"/>
        <w:ind w:right="25"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全年全州接待国内外游客</w:t>
      </w:r>
      <w:r w:rsidR="00500007" w:rsidRPr="00F96822">
        <w:rPr>
          <w:rFonts w:ascii="Arial" w:eastAsia="仿宋" w:hAnsi="Arial" w:cs="Arial"/>
          <w:kern w:val="0"/>
          <w:sz w:val="32"/>
          <w:szCs w:val="32"/>
        </w:rPr>
        <w:t>939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万人次，比上年增长</w:t>
      </w:r>
      <w:r w:rsidR="00500007" w:rsidRPr="00F96822">
        <w:rPr>
          <w:rFonts w:ascii="Arial" w:eastAsia="仿宋" w:hAnsi="Arial" w:cs="Arial"/>
          <w:kern w:val="0"/>
          <w:sz w:val="32"/>
          <w:szCs w:val="32"/>
        </w:rPr>
        <w:t>20.6</w:t>
      </w:r>
      <w:r w:rsidRPr="00F96822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，旅游总收入</w:t>
      </w:r>
      <w:r w:rsidR="00500007" w:rsidRPr="00F96822">
        <w:rPr>
          <w:rFonts w:ascii="Arial" w:eastAsia="仿宋" w:hAnsi="Arial" w:cs="Arial"/>
          <w:kern w:val="0"/>
          <w:sz w:val="32"/>
          <w:szCs w:val="32"/>
        </w:rPr>
        <w:t>25.32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500007" w:rsidRPr="00F96822">
        <w:rPr>
          <w:rFonts w:ascii="Arial" w:eastAsia="仿宋" w:hAnsi="Arial" w:cs="Arial"/>
          <w:kern w:val="0"/>
          <w:sz w:val="32"/>
          <w:szCs w:val="32"/>
        </w:rPr>
        <w:t>22.5</w:t>
      </w:r>
      <w:r w:rsidRPr="00F96822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C64032" w:rsidRPr="000B7E03" w:rsidRDefault="00C64032" w:rsidP="00C64032">
      <w:pPr>
        <w:widowControl/>
        <w:spacing w:line="560" w:lineRule="exact"/>
        <w:ind w:right="25"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513F68" w:rsidRPr="00EA5A95" w:rsidRDefault="00513F68" w:rsidP="00C64032">
      <w:pPr>
        <w:pStyle w:val="a5"/>
        <w:widowControl/>
        <w:numPr>
          <w:ilvl w:val="0"/>
          <w:numId w:val="3"/>
        </w:numPr>
        <w:spacing w:line="560" w:lineRule="exact"/>
        <w:ind w:right="23" w:firstLineChars="0"/>
        <w:rPr>
          <w:rFonts w:ascii="仿宋" w:eastAsia="仿宋" w:hAnsi="仿宋"/>
          <w:b/>
          <w:bCs/>
          <w:kern w:val="0"/>
          <w:sz w:val="32"/>
          <w:szCs w:val="32"/>
        </w:rPr>
      </w:pPr>
      <w:r w:rsidRPr="00EA5A95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金融</w:t>
      </w:r>
    </w:p>
    <w:p w:rsidR="00513F68" w:rsidRPr="000B7E03" w:rsidRDefault="00513F68" w:rsidP="00C64032">
      <w:pPr>
        <w:widowControl/>
        <w:spacing w:line="560" w:lineRule="exact"/>
        <w:ind w:right="25" w:firstLine="6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年末全州金融机构各项存款余额</w:t>
      </w:r>
      <w:r w:rsidR="00382781" w:rsidRPr="00AF7A2A">
        <w:rPr>
          <w:rFonts w:ascii="Arial" w:eastAsia="仿宋" w:hAnsi="Arial" w:cs="Arial"/>
          <w:kern w:val="0"/>
          <w:sz w:val="32"/>
          <w:szCs w:val="32"/>
        </w:rPr>
        <w:t>204.47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亿元，比年初</w:t>
      </w:r>
      <w:r w:rsidR="00AF7A2A">
        <w:rPr>
          <w:rFonts w:ascii="仿宋" w:eastAsia="仿宋" w:hAnsi="仿宋" w:cs="仿宋_GB2312" w:hint="eastAsia"/>
          <w:kern w:val="0"/>
          <w:sz w:val="32"/>
          <w:szCs w:val="32"/>
        </w:rPr>
        <w:t>减少</w:t>
      </w:r>
      <w:r w:rsidR="00AF7A2A" w:rsidRPr="00AF7A2A">
        <w:rPr>
          <w:rFonts w:ascii="Arial" w:eastAsia="仿宋" w:hAnsi="Arial" w:cs="Arial"/>
          <w:kern w:val="0"/>
          <w:sz w:val="32"/>
          <w:szCs w:val="32"/>
        </w:rPr>
        <w:t>4.96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</w:t>
      </w:r>
      <w:r w:rsidR="00382781">
        <w:rPr>
          <w:rFonts w:ascii="仿宋" w:eastAsia="仿宋" w:hAnsi="仿宋" w:cs="仿宋_GB2312" w:hint="eastAsia"/>
          <w:kern w:val="0"/>
          <w:sz w:val="32"/>
          <w:szCs w:val="32"/>
        </w:rPr>
        <w:t>下降</w:t>
      </w:r>
      <w:r w:rsidR="00382781" w:rsidRPr="00AF7A2A">
        <w:rPr>
          <w:rFonts w:ascii="Arial" w:eastAsia="仿宋" w:hAnsi="Arial" w:cs="Arial"/>
          <w:kern w:val="0"/>
          <w:sz w:val="32"/>
          <w:szCs w:val="32"/>
        </w:rPr>
        <w:t>2.</w:t>
      </w:r>
      <w:r w:rsidR="00052832">
        <w:rPr>
          <w:rFonts w:ascii="Arial" w:eastAsia="仿宋" w:hAnsi="Arial" w:cs="Arial" w:hint="eastAsia"/>
          <w:kern w:val="0"/>
          <w:sz w:val="32"/>
          <w:szCs w:val="32"/>
        </w:rPr>
        <w:t>4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。其中，全州住户存款余额</w:t>
      </w:r>
      <w:r w:rsidR="00382781" w:rsidRPr="00AF7A2A">
        <w:rPr>
          <w:rFonts w:ascii="Arial" w:eastAsia="仿宋" w:hAnsi="Arial" w:cs="Arial"/>
          <w:kern w:val="0"/>
          <w:sz w:val="32"/>
          <w:szCs w:val="32"/>
        </w:rPr>
        <w:t>94.04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亿元，比年初增加</w:t>
      </w:r>
      <w:r w:rsidR="00382781" w:rsidRPr="00AF7A2A">
        <w:rPr>
          <w:rFonts w:ascii="Arial" w:eastAsia="仿宋" w:hAnsi="Arial" w:cs="Arial"/>
          <w:kern w:val="0"/>
          <w:sz w:val="32"/>
          <w:szCs w:val="32"/>
        </w:rPr>
        <w:t xml:space="preserve"> </w:t>
      </w:r>
      <w:r w:rsidR="00AF7A2A" w:rsidRPr="00AF7A2A">
        <w:rPr>
          <w:rFonts w:ascii="Arial" w:eastAsia="仿宋" w:hAnsi="Arial" w:cs="Arial"/>
          <w:kern w:val="0"/>
          <w:sz w:val="32"/>
          <w:szCs w:val="32"/>
        </w:rPr>
        <w:t>5.0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382781" w:rsidRPr="00AF7A2A">
        <w:rPr>
          <w:rFonts w:ascii="Arial" w:eastAsia="仿宋" w:hAnsi="Arial" w:cs="Arial"/>
          <w:kern w:val="0"/>
          <w:sz w:val="32"/>
          <w:szCs w:val="32"/>
        </w:rPr>
        <w:t>5.6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；非金融企业存款余额</w:t>
      </w:r>
      <w:r w:rsidR="00382781" w:rsidRPr="00AF7A2A">
        <w:rPr>
          <w:rFonts w:ascii="Arial" w:eastAsia="仿宋" w:hAnsi="Arial" w:cs="Arial"/>
          <w:kern w:val="0"/>
          <w:sz w:val="32"/>
          <w:szCs w:val="32"/>
        </w:rPr>
        <w:t>20.15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亿元，增加</w:t>
      </w:r>
      <w:r w:rsidR="00AF7A2A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0.24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亿元，增长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1.2</w:t>
      </w:r>
      <w:r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；广义政府存款余额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90.28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亿元，减少</w:t>
      </w:r>
      <w:r w:rsidR="00AF7A2A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10.21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亿元，下降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10.2</w:t>
      </w:r>
      <w:r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。金融机构人民币各项贷款余额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112.87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亿元，较年初增加</w:t>
      </w:r>
      <w:r w:rsidR="00AF7A2A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14.45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亿元，增长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14.7</w:t>
      </w:r>
      <w:r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。住户贷款余额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40.90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亿元，增加</w:t>
      </w:r>
      <w:r w:rsidR="00AF7A2A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4.12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亿元，增长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11.2</w:t>
      </w:r>
      <w:r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；非金融企业及机关团体贷款余额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71.97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亿元，增加</w:t>
      </w:r>
      <w:r w:rsidR="00AF7A2A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10.33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亿元，增长</w:t>
      </w:r>
      <w:r w:rsidR="00382781"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16.8</w:t>
      </w:r>
      <w:r w:rsidRPr="00AF7A2A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C44B2" w:rsidRDefault="00513F68" w:rsidP="00C64032">
      <w:pPr>
        <w:widowControl/>
        <w:spacing w:line="560" w:lineRule="exact"/>
        <w:ind w:right="25"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全年全州保险公司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原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保险保费收入</w:t>
      </w:r>
      <w:r w:rsidR="001B1C8E" w:rsidRPr="001B1C8E">
        <w:rPr>
          <w:rFonts w:ascii="Arial" w:eastAsia="仿宋" w:hAnsi="Arial" w:cs="Arial"/>
          <w:kern w:val="0"/>
          <w:sz w:val="32"/>
          <w:szCs w:val="32"/>
        </w:rPr>
        <w:t>3.59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亿元，比上年增长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15.5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。其中：寿险保费收入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1.18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3.5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；财产险保费收入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1.51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17.4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；健康险保费收入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0.77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32.6%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；意外险保费收入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0.13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30.6%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。全年保险赔付额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1.44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19.3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。其中：寿险赔付额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0.41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亿元，增长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64.2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；财产险赔付额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0.63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亿元,下降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4.2</w:t>
      </w:r>
      <w:r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；健康</w:t>
      </w:r>
      <w:r w:rsidR="001B1C8E" w:rsidRPr="000B7E03">
        <w:rPr>
          <w:rFonts w:ascii="仿宋" w:eastAsia="仿宋" w:hAnsi="仿宋" w:cs="仿宋_GB2312" w:hint="eastAsia"/>
          <w:kern w:val="0"/>
          <w:sz w:val="32"/>
          <w:szCs w:val="32"/>
        </w:rPr>
        <w:t>险赔付额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0.34</w:t>
      </w:r>
      <w:r w:rsidR="001B1C8E"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亿元,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增长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30.1%</w:t>
      </w:r>
      <w:r w:rsidR="001B1C8E">
        <w:rPr>
          <w:rFonts w:ascii="仿宋" w:eastAsia="仿宋" w:hAnsi="仿宋" w:cs="仿宋_GB2312" w:hint="eastAsia"/>
          <w:kern w:val="0"/>
          <w:sz w:val="32"/>
          <w:szCs w:val="32"/>
        </w:rPr>
        <w:t>；意外</w:t>
      </w:r>
      <w:r w:rsidR="001B1C8E" w:rsidRPr="000B7E03">
        <w:rPr>
          <w:rFonts w:ascii="仿宋" w:eastAsia="仿宋" w:hAnsi="仿宋" w:cs="仿宋_GB2312" w:hint="eastAsia"/>
          <w:kern w:val="0"/>
          <w:sz w:val="32"/>
          <w:szCs w:val="32"/>
        </w:rPr>
        <w:t>险赔付额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0.</w:t>
      </w:r>
      <w:r w:rsidR="00E11EF2" w:rsidRPr="00AF7A2A">
        <w:rPr>
          <w:rFonts w:ascii="Arial" w:eastAsia="仿宋" w:hAnsi="Arial" w:cs="Arial"/>
          <w:kern w:val="0"/>
          <w:sz w:val="32"/>
          <w:szCs w:val="32"/>
        </w:rPr>
        <w:t>0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6</w:t>
      </w:r>
      <w:r w:rsidR="001B1C8E" w:rsidRPr="000B7E03">
        <w:rPr>
          <w:rFonts w:ascii="仿宋" w:eastAsia="仿宋" w:hAnsi="仿宋" w:cs="仿宋_GB2312" w:hint="eastAsia"/>
          <w:kern w:val="0"/>
          <w:sz w:val="32"/>
          <w:szCs w:val="32"/>
        </w:rPr>
        <w:t>亿元,</w:t>
      </w:r>
      <w:r w:rsidR="00E11EF2">
        <w:rPr>
          <w:rFonts w:ascii="仿宋" w:eastAsia="仿宋" w:hAnsi="仿宋" w:cs="仿宋_GB2312" w:hint="eastAsia"/>
          <w:kern w:val="0"/>
          <w:sz w:val="32"/>
          <w:szCs w:val="32"/>
        </w:rPr>
        <w:t>增长</w:t>
      </w:r>
      <w:r w:rsidR="00E11EF2" w:rsidRPr="00AF7A2A">
        <w:rPr>
          <w:rFonts w:ascii="Arial" w:eastAsia="仿宋" w:hAnsi="Arial" w:cs="Arial"/>
          <w:kern w:val="0"/>
          <w:sz w:val="32"/>
          <w:szCs w:val="32"/>
        </w:rPr>
        <w:t>58.1</w:t>
      </w:r>
      <w:r w:rsidR="001B1C8E" w:rsidRPr="00AF7A2A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  <w:r w:rsidRPr="000B7E03"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</w:p>
    <w:p w:rsidR="00EC44B2" w:rsidRPr="00EA5A95" w:rsidRDefault="00EC44B2" w:rsidP="00C64032">
      <w:pPr>
        <w:pStyle w:val="a5"/>
        <w:widowControl/>
        <w:numPr>
          <w:ilvl w:val="0"/>
          <w:numId w:val="3"/>
        </w:numPr>
        <w:spacing w:line="560" w:lineRule="exact"/>
        <w:ind w:right="23" w:firstLineChars="0"/>
        <w:rPr>
          <w:rFonts w:ascii="黑体" w:eastAsia="黑体" w:hAnsi="黑体"/>
          <w:b/>
          <w:bCs/>
          <w:kern w:val="0"/>
          <w:sz w:val="32"/>
          <w:szCs w:val="32"/>
        </w:rPr>
      </w:pPr>
      <w:r w:rsidRPr="00EA5A95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人民生活和社会保障</w:t>
      </w:r>
    </w:p>
    <w:p w:rsidR="00EC44B2" w:rsidRPr="000B7E03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911CE7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全年全州全体居民人均可支配收入</w:t>
      </w:r>
      <w:r w:rsidR="005373E2" w:rsidRPr="00452865">
        <w:rPr>
          <w:rFonts w:ascii="Arial" w:eastAsia="仿宋" w:hAnsi="Arial" w:cs="Arial"/>
          <w:kern w:val="0"/>
          <w:sz w:val="32"/>
          <w:szCs w:val="32"/>
        </w:rPr>
        <w:t>17737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元，比上年增长</w:t>
      </w:r>
      <w:r w:rsidRPr="00452865">
        <w:rPr>
          <w:rFonts w:ascii="Arial" w:eastAsia="仿宋" w:hAnsi="Arial" w:cs="Arial"/>
          <w:kern w:val="0"/>
          <w:sz w:val="32"/>
          <w:szCs w:val="32"/>
        </w:rPr>
        <w:t>9.</w:t>
      </w:r>
      <w:r w:rsidR="005373E2" w:rsidRPr="00452865">
        <w:rPr>
          <w:rFonts w:ascii="Arial" w:eastAsia="仿宋" w:hAnsi="Arial" w:cs="Arial"/>
          <w:kern w:val="0"/>
          <w:sz w:val="32"/>
          <w:szCs w:val="32"/>
        </w:rPr>
        <w:t>3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  <w:r w:rsidR="00911CE7" w:rsidRPr="000B7E03">
        <w:rPr>
          <w:rFonts w:ascii="仿宋" w:eastAsia="仿宋" w:hAnsi="仿宋" w:cs="仿宋_GB2312" w:hint="eastAsia"/>
          <w:kern w:val="0"/>
          <w:sz w:val="32"/>
          <w:szCs w:val="32"/>
        </w:rPr>
        <w:t>人均生活消费支出</w:t>
      </w:r>
      <w:r w:rsidR="00911CE7" w:rsidRPr="00073A5F">
        <w:rPr>
          <w:rFonts w:ascii="Arial" w:eastAsia="仿宋" w:hAnsi="Arial" w:cs="Arial"/>
          <w:kern w:val="0"/>
          <w:sz w:val="32"/>
          <w:szCs w:val="32"/>
        </w:rPr>
        <w:t>11954</w:t>
      </w:r>
      <w:r w:rsidR="00911CE7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911CE7" w:rsidRPr="00073A5F">
        <w:rPr>
          <w:rFonts w:ascii="Arial" w:eastAsia="仿宋" w:hAnsi="Arial" w:cs="Arial"/>
          <w:kern w:val="0"/>
          <w:sz w:val="32"/>
          <w:szCs w:val="32"/>
        </w:rPr>
        <w:t>7.2%</w:t>
      </w:r>
      <w:r w:rsidR="00911CE7"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EC44B2" w:rsidRPr="000B7E03" w:rsidRDefault="00110498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城镇常住居民人均可支配收入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30803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7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.9%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。其中，工资性收入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22775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10.6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；经营净收入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5138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</w:t>
      </w:r>
      <w:r w:rsidR="005373E2">
        <w:rPr>
          <w:rFonts w:ascii="仿宋" w:eastAsia="仿宋" w:hAnsi="仿宋" w:cs="仿宋_GB2312" w:hint="eastAsia"/>
          <w:kern w:val="0"/>
          <w:sz w:val="32"/>
          <w:szCs w:val="32"/>
        </w:rPr>
        <w:t>下降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7.6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；财产净收入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1037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</w:t>
      </w:r>
      <w:r w:rsidR="005373E2">
        <w:rPr>
          <w:rFonts w:ascii="仿宋" w:eastAsia="仿宋" w:hAnsi="仿宋" w:cs="仿宋_GB2312" w:hint="eastAsia"/>
          <w:kern w:val="0"/>
          <w:sz w:val="32"/>
          <w:szCs w:val="32"/>
        </w:rPr>
        <w:t>增长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54.1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转移净收入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1853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5373E2" w:rsidRPr="00D21880">
        <w:rPr>
          <w:rFonts w:ascii="Arial" w:eastAsia="仿宋" w:hAnsi="Arial" w:cs="Arial"/>
          <w:kern w:val="0"/>
          <w:sz w:val="32"/>
          <w:szCs w:val="32"/>
        </w:rPr>
        <w:t>7.6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。人均生活消费支出</w:t>
      </w:r>
      <w:r w:rsidR="00911CE7" w:rsidRPr="00D21880">
        <w:rPr>
          <w:rFonts w:ascii="Arial" w:eastAsia="仿宋" w:hAnsi="Arial" w:cs="Arial"/>
          <w:kern w:val="0"/>
          <w:sz w:val="32"/>
          <w:szCs w:val="32"/>
        </w:rPr>
        <w:t>16086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911CE7" w:rsidRPr="00D21880">
        <w:rPr>
          <w:rFonts w:ascii="Arial" w:eastAsia="仿宋" w:hAnsi="Arial" w:cs="Arial"/>
          <w:kern w:val="0"/>
          <w:sz w:val="32"/>
          <w:szCs w:val="32"/>
        </w:rPr>
        <w:t>6.3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。恩格尔系数为</w:t>
      </w:r>
      <w:r w:rsidR="002660CC" w:rsidRPr="00D21880">
        <w:rPr>
          <w:rFonts w:ascii="Arial" w:eastAsia="仿宋" w:hAnsi="Arial" w:cs="Arial"/>
          <w:kern w:val="0"/>
          <w:sz w:val="32"/>
          <w:szCs w:val="32"/>
        </w:rPr>
        <w:t>22.1</w:t>
      </w:r>
      <w:r w:rsidR="00EC44B2" w:rsidRPr="00D21880">
        <w:rPr>
          <w:rFonts w:ascii="Arial" w:eastAsia="仿宋" w:hAnsi="Arial" w:cs="Arial"/>
          <w:kern w:val="0"/>
          <w:sz w:val="32"/>
          <w:szCs w:val="32"/>
        </w:rPr>
        <w:t>%</w:t>
      </w:r>
      <w:r w:rsidR="00EC44B2"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EC44B2" w:rsidRPr="000B7E03" w:rsidRDefault="00EC44B2" w:rsidP="00EC44B2">
      <w:pPr>
        <w:widowControl/>
        <w:spacing w:line="460" w:lineRule="exact"/>
        <w:ind w:firstLine="600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EC44B2" w:rsidRPr="000B7E03" w:rsidRDefault="00EC44B2" w:rsidP="00EC44B2">
      <w:pPr>
        <w:widowControl/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EC44B2" w:rsidRPr="000B7E03" w:rsidRDefault="00EC44B2" w:rsidP="00EC44B2">
      <w:pPr>
        <w:widowControl/>
        <w:spacing w:line="460" w:lineRule="exact"/>
        <w:ind w:firstLine="600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EC44B2" w:rsidRPr="000B7E03" w:rsidRDefault="00C64032" w:rsidP="00EC44B2">
      <w:pPr>
        <w:widowControl/>
        <w:spacing w:line="460" w:lineRule="exact"/>
        <w:ind w:firstLine="600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-800735</wp:posOffset>
            </wp:positionV>
            <wp:extent cx="5279390" cy="3156585"/>
            <wp:effectExtent l="0" t="0" r="0" b="0"/>
            <wp:wrapNone/>
            <wp:docPr id="13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EC44B2" w:rsidRPr="000B7E03" w:rsidRDefault="00EC44B2" w:rsidP="00EC44B2">
      <w:pPr>
        <w:widowControl/>
        <w:spacing w:line="460" w:lineRule="exact"/>
        <w:ind w:firstLine="600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EC44B2" w:rsidRPr="000B7E03" w:rsidRDefault="00EC44B2" w:rsidP="00EC44B2">
      <w:pPr>
        <w:widowControl/>
        <w:spacing w:line="460" w:lineRule="exact"/>
        <w:ind w:firstLine="600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EC44B2" w:rsidRPr="000B7E03" w:rsidRDefault="00EC44B2" w:rsidP="00233EB4">
      <w:pPr>
        <w:widowControl/>
        <w:spacing w:line="460" w:lineRule="exact"/>
        <w:rPr>
          <w:rFonts w:ascii="仿宋" w:eastAsia="仿宋" w:hAnsi="仿宋" w:cs="宋体"/>
          <w:b/>
          <w:bCs/>
          <w:kern w:val="0"/>
          <w:sz w:val="24"/>
          <w:szCs w:val="24"/>
        </w:rPr>
      </w:pPr>
    </w:p>
    <w:p w:rsidR="00EC44B2" w:rsidRPr="000B7E03" w:rsidRDefault="00EC44B2" w:rsidP="00EC44B2">
      <w:pPr>
        <w:widowControl/>
        <w:spacing w:line="4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EC44B2" w:rsidRPr="000B7E03" w:rsidRDefault="00EC44B2" w:rsidP="00EC44B2">
      <w:pPr>
        <w:widowControl/>
        <w:spacing w:line="4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EC44B2" w:rsidRPr="000B7E03" w:rsidRDefault="00EC44B2" w:rsidP="00EC44B2">
      <w:pPr>
        <w:widowControl/>
        <w:spacing w:line="4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F5383A" w:rsidRDefault="00F5383A" w:rsidP="00EC44B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8332B8" w:rsidRPr="000B7E03" w:rsidRDefault="00EC44B2" w:rsidP="00EC44B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全年全州农村常住居民人均可支配收入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11404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Pr="008332B8">
        <w:rPr>
          <w:rFonts w:ascii="Arial" w:eastAsia="仿宋" w:hAnsi="Arial" w:cs="Arial"/>
          <w:kern w:val="0"/>
          <w:sz w:val="32"/>
          <w:szCs w:val="32"/>
        </w:rPr>
        <w:t>9.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4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。其中：工资性收入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2775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21.1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；经营净收入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5649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6.2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；财产净收入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637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元，下降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2.0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；转移净收入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2343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8.1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。人均生活消费支出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9950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元，增长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>7.3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。恩格尔系数为</w:t>
      </w:r>
      <w:r w:rsidR="00110498" w:rsidRPr="008332B8">
        <w:rPr>
          <w:rFonts w:ascii="Arial" w:eastAsia="仿宋" w:hAnsi="Arial" w:cs="Arial"/>
          <w:kern w:val="0"/>
          <w:sz w:val="32"/>
          <w:szCs w:val="32"/>
        </w:rPr>
        <w:t xml:space="preserve"> </w:t>
      </w:r>
      <w:r w:rsidR="002660CC" w:rsidRPr="008332B8">
        <w:rPr>
          <w:rFonts w:ascii="Arial" w:eastAsia="仿宋" w:hAnsi="Arial" w:cs="Arial"/>
          <w:kern w:val="0"/>
          <w:sz w:val="32"/>
          <w:szCs w:val="32"/>
        </w:rPr>
        <w:t>26.2</w:t>
      </w:r>
      <w:r w:rsidRPr="008332B8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EC44B2" w:rsidRDefault="00EC44B2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100296" w:rsidRDefault="002852E8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-700405</wp:posOffset>
            </wp:positionV>
            <wp:extent cx="5469890" cy="3060700"/>
            <wp:effectExtent l="0" t="0" r="0" b="0"/>
            <wp:wrapNone/>
            <wp:docPr id="14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100296" w:rsidRDefault="00100296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100296" w:rsidRDefault="00100296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100296" w:rsidRDefault="00100296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100296" w:rsidRDefault="00100296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100296" w:rsidRDefault="00100296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100296" w:rsidRPr="000B7E03" w:rsidRDefault="00100296" w:rsidP="00100296">
      <w:pPr>
        <w:widowControl/>
        <w:spacing w:line="560" w:lineRule="exact"/>
        <w:ind w:right="23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EC44B2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年末，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全州养老保险参保人数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258628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人，比上年末增加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49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人。其中，城镇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企业职工基本养老保险参保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17323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643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人；</w:t>
      </w:r>
      <w:r w:rsidR="00EA5A95"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城乡居民基本养老保险参保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219206</w:t>
      </w:r>
      <w:r w:rsidR="00EA5A95"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</w:t>
      </w:r>
      <w:r w:rsidR="007F487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减少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660</w:t>
      </w:r>
      <w:r w:rsidR="007F487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EA5A95"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机关事业单位养老保险参保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22099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66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人。全州</w:t>
      </w:r>
      <w:r w:rsidR="002C49B4" w:rsidRPr="002C49B4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基本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医疗保险参保人数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423404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人，比上年末增加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10224</w:t>
      </w:r>
      <w:r w:rsidR="00EA5A95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人。其中，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城镇职工医疗保险参保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37122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2592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人；城乡居民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医疗保险参保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386282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7632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人。全州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失业保险参保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18774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716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；工伤保险参保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31951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2856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；城镇职工生育保险参保</w:t>
      </w:r>
      <w:r w:rsidR="002C49B4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22281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，增加</w:t>
      </w:r>
      <w:r w:rsidR="007F4877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1597</w:t>
      </w:r>
      <w:r w:rsidR="00A20807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C44B2" w:rsidRPr="000B7E03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年末全州享受城市最低生活保障的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人数</w:t>
      </w:r>
      <w:r w:rsidR="00B41056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9429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人，享受农村最低生活保障的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人数</w:t>
      </w:r>
      <w:r w:rsidR="00B41056" w:rsidRPr="00B41056">
        <w:rPr>
          <w:rFonts w:ascii="Arial" w:eastAsia="仿宋" w:hAnsi="Arial" w:cs="Arial"/>
          <w:color w:val="000000"/>
          <w:kern w:val="0"/>
          <w:sz w:val="32"/>
          <w:szCs w:val="32"/>
        </w:rPr>
        <w:t>37673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人。</w:t>
      </w:r>
    </w:p>
    <w:p w:rsidR="00EC44B2" w:rsidRPr="000B7E03" w:rsidRDefault="00EC44B2" w:rsidP="00C64032">
      <w:pPr>
        <w:widowControl/>
        <w:spacing w:line="560" w:lineRule="exact"/>
        <w:ind w:right="25"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EC44B2" w:rsidRPr="000B7E03" w:rsidRDefault="00EC44B2" w:rsidP="00C64032">
      <w:pPr>
        <w:pStyle w:val="a5"/>
        <w:widowControl/>
        <w:numPr>
          <w:ilvl w:val="0"/>
          <w:numId w:val="3"/>
        </w:numPr>
        <w:spacing w:line="560" w:lineRule="exact"/>
        <w:ind w:left="1854" w:right="23" w:firstLineChars="0"/>
        <w:jc w:val="center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黑体" w:hint="eastAsia"/>
          <w:b/>
          <w:bCs/>
          <w:color w:val="000000"/>
          <w:kern w:val="0"/>
          <w:sz w:val="32"/>
          <w:szCs w:val="32"/>
        </w:rPr>
        <w:t>教育、科学技术和文化体育</w:t>
      </w:r>
    </w:p>
    <w:p w:rsidR="00EC44B2" w:rsidRPr="000B7E03" w:rsidRDefault="00EC44B2" w:rsidP="00C64032">
      <w:pPr>
        <w:pStyle w:val="a5"/>
        <w:widowControl/>
        <w:spacing w:line="560" w:lineRule="exact"/>
        <w:ind w:firstLineChars="0" w:firstLine="0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</w:p>
    <w:p w:rsidR="00EC44B2" w:rsidRPr="000B7E03" w:rsidRDefault="00EC44B2" w:rsidP="00C64032">
      <w:pPr>
        <w:widowControl/>
        <w:spacing w:line="560" w:lineRule="exact"/>
        <w:ind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全年全州共有各级各类学校</w:t>
      </w:r>
      <w:r w:rsidR="002852E8" w:rsidRPr="00DE41C4">
        <w:rPr>
          <w:rFonts w:ascii="Arial" w:eastAsia="仿宋" w:hAnsi="Arial" w:cs="Arial"/>
          <w:kern w:val="0"/>
          <w:sz w:val="32"/>
          <w:szCs w:val="32"/>
        </w:rPr>
        <w:t xml:space="preserve"> 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385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所（寄宿制中小学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70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所，在校生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67273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人），在校学生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102130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人。其中：小学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54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所，在校生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43645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人；中学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所,在校生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31482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人；幼儿园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302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所,在园幼儿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21680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人；特殊教育学校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所，在校生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人；中等职业学校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所，在校生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5312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人。全州教职工总数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7115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人，拥有专任教师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6087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人。学龄儿童入学率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99.77</w:t>
      </w:r>
      <w:r w:rsidRPr="00DE41C4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，初中阶段净入学率达到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95.99</w:t>
      </w:r>
      <w:r w:rsidRPr="00DE41C4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EC44B2" w:rsidRPr="000B7E03" w:rsidRDefault="00EC44B2" w:rsidP="00C64032">
      <w:pPr>
        <w:widowControl/>
        <w:spacing w:line="560" w:lineRule="exact"/>
        <w:ind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全年全州累计开展农牧民科技培训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131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期，培训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10188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人次。全州开展科普活动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次，发放科普读物和资料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万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册。申请专利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63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项，其中，发明专利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项、实用新型专利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38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项、外观设计专利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23</w:t>
      </w:r>
      <w:r w:rsidR="002852E8" w:rsidRPr="00DE41C4">
        <w:rPr>
          <w:rFonts w:ascii="Arial" w:eastAsia="仿宋" w:hAnsi="Arial" w:cs="Arial"/>
          <w:kern w:val="0"/>
          <w:sz w:val="32"/>
          <w:szCs w:val="32"/>
        </w:rPr>
        <w:t xml:space="preserve"> 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项。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授权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55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项，其中，发明专利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项，实用新型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32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项，外观设计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21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项。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认定高新技术企业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家，科技型企业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家。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海南创新平台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</w:t>
      </w:r>
      <w:r w:rsidR="00DE41C4">
        <w:rPr>
          <w:rFonts w:ascii="仿宋" w:eastAsia="仿宋" w:hAnsi="仿宋" w:cs="仿宋_GB2312" w:hint="eastAsia"/>
          <w:kern w:val="0"/>
          <w:sz w:val="32"/>
          <w:szCs w:val="32"/>
        </w:rPr>
        <w:t>家。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引进推广</w:t>
      </w:r>
      <w:r w:rsidR="00DE41C4" w:rsidRPr="00DE41C4">
        <w:rPr>
          <w:rFonts w:ascii="Arial" w:eastAsia="仿宋" w:hAnsi="Arial" w:cs="Arial"/>
          <w:kern w:val="0"/>
          <w:sz w:val="32"/>
          <w:szCs w:val="32"/>
        </w:rPr>
        <w:t>22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项实用新品种新技术。</w:t>
      </w:r>
    </w:p>
    <w:p w:rsidR="00EC44B2" w:rsidRDefault="00EC44B2" w:rsidP="00C64032">
      <w:pPr>
        <w:pStyle w:val="a9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B7E03">
        <w:rPr>
          <w:rFonts w:ascii="仿宋" w:eastAsia="仿宋" w:hAnsi="仿宋" w:cs="仿宋_GB2312" w:hint="eastAsia"/>
          <w:sz w:val="32"/>
          <w:szCs w:val="32"/>
        </w:rPr>
        <w:t>年末</w:t>
      </w:r>
      <w:r w:rsidR="00DF1CFD">
        <w:rPr>
          <w:rFonts w:ascii="仿宋" w:eastAsia="仿宋" w:hAnsi="仿宋" w:cs="仿宋_GB2312" w:hint="eastAsia"/>
          <w:sz w:val="32"/>
          <w:szCs w:val="32"/>
        </w:rPr>
        <w:t>，</w:t>
      </w:r>
      <w:r w:rsidRPr="000B7E03">
        <w:rPr>
          <w:rFonts w:ascii="仿宋" w:eastAsia="仿宋" w:hAnsi="仿宋" w:cs="仿宋_GB2312" w:hint="eastAsia"/>
          <w:sz w:val="32"/>
          <w:szCs w:val="32"/>
        </w:rPr>
        <w:t>全州共有艺术专业表演机构</w:t>
      </w:r>
      <w:r w:rsidR="00DF1CFD" w:rsidRPr="00DF1CFD">
        <w:rPr>
          <w:rFonts w:ascii="Arial" w:eastAsia="仿宋" w:hAnsi="Arial" w:cs="Arial"/>
          <w:sz w:val="32"/>
          <w:szCs w:val="32"/>
        </w:rPr>
        <w:t>1</w:t>
      </w:r>
      <w:r w:rsidRPr="000B7E03">
        <w:rPr>
          <w:rFonts w:ascii="仿宋" w:eastAsia="仿宋" w:hAnsi="仿宋" w:cs="仿宋_GB2312" w:hint="eastAsia"/>
          <w:sz w:val="32"/>
          <w:szCs w:val="32"/>
        </w:rPr>
        <w:t>个，图书馆事业机构</w:t>
      </w:r>
      <w:r w:rsidR="00DF1CFD" w:rsidRPr="00DF1CFD">
        <w:rPr>
          <w:rFonts w:ascii="Arial" w:eastAsia="仿宋" w:hAnsi="Arial" w:cs="Arial"/>
          <w:sz w:val="32"/>
          <w:szCs w:val="32"/>
        </w:rPr>
        <w:t>6</w:t>
      </w:r>
      <w:r w:rsidRPr="000B7E03">
        <w:rPr>
          <w:rFonts w:ascii="仿宋" w:eastAsia="仿宋" w:hAnsi="仿宋" w:cs="仿宋_GB2312" w:hint="eastAsia"/>
          <w:sz w:val="32"/>
          <w:szCs w:val="32"/>
        </w:rPr>
        <w:t>个，文物事业机构</w:t>
      </w:r>
      <w:r w:rsidR="00DF1CFD" w:rsidRPr="00DF1CFD">
        <w:rPr>
          <w:rFonts w:ascii="Arial" w:eastAsia="仿宋" w:hAnsi="Arial" w:cs="Arial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sz w:val="32"/>
          <w:szCs w:val="32"/>
        </w:rPr>
        <w:t>个，群众文化事业机构</w:t>
      </w:r>
      <w:r w:rsidR="00DF1CFD" w:rsidRPr="00DF1CFD">
        <w:rPr>
          <w:rFonts w:ascii="Arial" w:eastAsia="仿宋" w:hAnsi="Arial" w:cs="Arial"/>
          <w:sz w:val="32"/>
          <w:szCs w:val="32"/>
        </w:rPr>
        <w:t>6</w:t>
      </w:r>
      <w:r w:rsidRPr="000B7E03">
        <w:rPr>
          <w:rFonts w:ascii="仿宋" w:eastAsia="仿宋" w:hAnsi="仿宋" w:cs="仿宋_GB2312" w:hint="eastAsia"/>
          <w:sz w:val="32"/>
          <w:szCs w:val="32"/>
        </w:rPr>
        <w:t>个。</w:t>
      </w:r>
      <w:r w:rsidR="00DF1CFD">
        <w:rPr>
          <w:rFonts w:ascii="仿宋" w:eastAsia="仿宋" w:hAnsi="仿宋" w:cs="仿宋_GB2312" w:hint="eastAsia"/>
          <w:sz w:val="32"/>
          <w:szCs w:val="32"/>
        </w:rPr>
        <w:t>年内</w:t>
      </w:r>
      <w:r w:rsidRPr="000B7E03">
        <w:rPr>
          <w:rFonts w:ascii="仿宋" w:eastAsia="仿宋" w:hAnsi="仿宋" w:cs="仿宋_GB2312" w:hint="eastAsia"/>
          <w:sz w:val="32"/>
          <w:szCs w:val="32"/>
        </w:rPr>
        <w:t>开展各类文体活动</w:t>
      </w:r>
      <w:r w:rsidR="00DF1CFD" w:rsidRPr="00DF1CFD">
        <w:rPr>
          <w:rFonts w:ascii="Arial" w:eastAsia="仿宋" w:hAnsi="Arial" w:cs="Arial"/>
          <w:sz w:val="32"/>
          <w:szCs w:val="32"/>
        </w:rPr>
        <w:t>561</w:t>
      </w:r>
      <w:r w:rsidRPr="000B7E03">
        <w:rPr>
          <w:rFonts w:ascii="仿宋" w:eastAsia="仿宋" w:hAnsi="仿宋" w:cs="仿宋_GB2312" w:hint="eastAsia"/>
          <w:sz w:val="32"/>
          <w:szCs w:val="32"/>
        </w:rPr>
        <w:t>场（次），文化三下乡活动达</w:t>
      </w:r>
      <w:r w:rsidR="00DF1CFD" w:rsidRPr="00DF1CFD">
        <w:rPr>
          <w:rFonts w:ascii="Arial" w:eastAsia="仿宋" w:hAnsi="Arial" w:cs="Arial"/>
          <w:sz w:val="32"/>
          <w:szCs w:val="32"/>
        </w:rPr>
        <w:t>354</w:t>
      </w:r>
      <w:r w:rsidRPr="000B7E03">
        <w:rPr>
          <w:rFonts w:ascii="仿宋" w:eastAsia="仿宋" w:hAnsi="仿宋" w:cs="仿宋_GB2312" w:hint="eastAsia"/>
          <w:sz w:val="32"/>
          <w:szCs w:val="32"/>
        </w:rPr>
        <w:t>场（次）。</w:t>
      </w:r>
      <w:r w:rsidRPr="000B7E03">
        <w:rPr>
          <w:rFonts w:ascii="仿宋" w:eastAsia="仿宋" w:hAnsi="仿宋" w:cs="仿宋_GB2312"/>
          <w:sz w:val="32"/>
          <w:szCs w:val="32"/>
        </w:rPr>
        <w:t xml:space="preserve"> </w:t>
      </w:r>
    </w:p>
    <w:p w:rsidR="00EC44B2" w:rsidRPr="000B7E03" w:rsidRDefault="00EC44B2" w:rsidP="00C64032">
      <w:pPr>
        <w:widowControl/>
        <w:spacing w:line="560" w:lineRule="exact"/>
        <w:ind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EC44B2" w:rsidRPr="004B7FF7" w:rsidRDefault="00EC44B2" w:rsidP="00C64032">
      <w:pPr>
        <w:pStyle w:val="a5"/>
        <w:widowControl/>
        <w:numPr>
          <w:ilvl w:val="0"/>
          <w:numId w:val="3"/>
        </w:numPr>
        <w:spacing w:line="560" w:lineRule="exact"/>
        <w:ind w:left="0" w:firstLineChars="0"/>
        <w:jc w:val="center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4B7FF7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卫生和社会服务</w:t>
      </w:r>
    </w:p>
    <w:p w:rsidR="00EC44B2" w:rsidRPr="000B7E03" w:rsidRDefault="00EC44B2" w:rsidP="00C64032">
      <w:pPr>
        <w:pStyle w:val="a5"/>
        <w:widowControl/>
        <w:spacing w:line="560" w:lineRule="exact"/>
        <w:ind w:firstLineChars="0" w:firstLine="0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</w:p>
    <w:p w:rsidR="00EC44B2" w:rsidRPr="000B7E03" w:rsidRDefault="00EC44B2" w:rsidP="00C64032">
      <w:pPr>
        <w:widowControl/>
        <w:spacing w:line="560" w:lineRule="exact"/>
        <w:ind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年末全州拥有各级医疗卫生机构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72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家，其中，州级公立医院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家，县级公立医院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9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家、疾病预防控制中心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6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家、卫生监督所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6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家，妇计中心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6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家、中心血站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个，血库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个、乡镇卫生院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40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所；共开设病床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2751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张，平均每千人拥有病床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5.9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张。平均每千人拥有卫生专业技术人员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5.5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人。全年全州孕产妇、婴儿、5岁以下儿童死亡率分别为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0</w:t>
      </w:r>
      <w:r w:rsidRPr="00DF1CFD">
        <w:rPr>
          <w:rFonts w:ascii="Arial" w:eastAsia="仿宋" w:hAnsi="Arial" w:cs="Arial"/>
          <w:kern w:val="0"/>
          <w:sz w:val="32"/>
          <w:szCs w:val="32"/>
        </w:rPr>
        <w:t>/10</w:t>
      </w:r>
      <w:r w:rsidRPr="00DF1CFD">
        <w:rPr>
          <w:rFonts w:ascii="Arial" w:eastAsia="仿宋" w:hAnsi="仿宋" w:cs="Arial"/>
          <w:kern w:val="0"/>
          <w:sz w:val="32"/>
          <w:szCs w:val="32"/>
        </w:rPr>
        <w:t>万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13.76</w:t>
      </w:r>
      <w:r w:rsidRPr="00DF1CFD">
        <w:rPr>
          <w:rFonts w:ascii="Arial" w:eastAsia="仿宋" w:hAnsi="Arial" w:cs="Arial"/>
          <w:color w:val="000000"/>
          <w:kern w:val="0"/>
          <w:sz w:val="32"/>
          <w:szCs w:val="32"/>
        </w:rPr>
        <w:t>‰</w:t>
      </w:r>
      <w:r w:rsidRPr="000B7E03">
        <w:rPr>
          <w:rFonts w:ascii="仿宋" w:eastAsia="仿宋" w:hAnsi="仿宋" w:cs="仿宋_GB2312" w:hint="eastAsia"/>
          <w:kern w:val="0"/>
          <w:sz w:val="32"/>
          <w:szCs w:val="32"/>
        </w:rPr>
        <w:t>、</w:t>
      </w:r>
      <w:r w:rsidR="00DF1CFD" w:rsidRPr="00DF1CFD">
        <w:rPr>
          <w:rFonts w:ascii="Arial" w:eastAsia="仿宋" w:hAnsi="Arial" w:cs="Arial"/>
          <w:kern w:val="0"/>
          <w:sz w:val="32"/>
          <w:szCs w:val="32"/>
        </w:rPr>
        <w:t>18.7</w:t>
      </w:r>
      <w:r w:rsidRPr="00DF1CFD">
        <w:rPr>
          <w:rFonts w:ascii="Arial" w:eastAsia="仿宋" w:hAnsi="Arial" w:cs="Arial"/>
          <w:color w:val="000000"/>
          <w:kern w:val="0"/>
          <w:sz w:val="32"/>
          <w:szCs w:val="32"/>
        </w:rPr>
        <w:t>‰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C44B2" w:rsidRPr="000B7E03" w:rsidRDefault="00EC44B2" w:rsidP="00C64032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年末全州共有养老服务机构</w:t>
      </w:r>
      <w:r w:rsidR="00DF1CFD" w:rsidRPr="00DF1CFD">
        <w:rPr>
          <w:rFonts w:ascii="Arial" w:eastAsia="仿宋" w:hAnsi="Arial" w:cs="Arial"/>
          <w:color w:val="000000"/>
          <w:kern w:val="0"/>
          <w:sz w:val="32"/>
          <w:szCs w:val="32"/>
        </w:rPr>
        <w:t>20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个，社区服务站</w:t>
      </w:r>
      <w:r w:rsidR="00DF1CFD" w:rsidRPr="00DF1CFD">
        <w:rPr>
          <w:rFonts w:ascii="Arial" w:eastAsia="仿宋" w:hAnsi="Arial" w:cs="Arial"/>
          <w:color w:val="000000"/>
          <w:kern w:val="0"/>
          <w:sz w:val="32"/>
          <w:szCs w:val="32"/>
        </w:rPr>
        <w:t>49</w:t>
      </w:r>
      <w:r w:rsidRPr="000B7E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个。</w:t>
      </w:r>
    </w:p>
    <w:p w:rsidR="00EC44B2" w:rsidRPr="000B7E03" w:rsidRDefault="00EC44B2" w:rsidP="00C64032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EC44B2" w:rsidRPr="004B7FF7" w:rsidRDefault="00EC44B2" w:rsidP="00C64032">
      <w:pPr>
        <w:widowControl/>
        <w:spacing w:line="560" w:lineRule="exact"/>
        <w:ind w:right="23" w:firstLine="540"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4B7FF7"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十一、资源、环境、水利和安全生产</w:t>
      </w:r>
    </w:p>
    <w:p w:rsidR="00EC44B2" w:rsidRPr="004B7FF7" w:rsidRDefault="00EC44B2" w:rsidP="00C64032">
      <w:pPr>
        <w:widowControl/>
        <w:spacing w:line="560" w:lineRule="exact"/>
        <w:ind w:right="23" w:firstLine="600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EC44B2" w:rsidRPr="000B7E03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国土资源调查及地质勘查，现已发现的矿种有</w:t>
      </w:r>
      <w:r w:rsidRPr="006C52A1">
        <w:rPr>
          <w:rFonts w:ascii="Arial" w:eastAsia="仿宋" w:hAnsi="Arial" w:cs="Arial"/>
          <w:color w:val="000000"/>
          <w:kern w:val="0"/>
          <w:sz w:val="32"/>
          <w:szCs w:val="32"/>
        </w:rPr>
        <w:t>58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种矿藏，已探明的主要矿种有铜、铅、锌、白钨、金、大理石等，铜储量相当可观，占全省保有资源储量的</w:t>
      </w:r>
      <w:r w:rsidRPr="006C52A1">
        <w:rPr>
          <w:rFonts w:ascii="Arial" w:eastAsia="仿宋" w:hAnsi="Arial" w:cs="Arial"/>
          <w:color w:val="000000"/>
          <w:kern w:val="0"/>
          <w:sz w:val="32"/>
          <w:szCs w:val="32"/>
        </w:rPr>
        <w:t>20%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以上。</w:t>
      </w:r>
    </w:p>
    <w:p w:rsidR="00EC44B2" w:rsidRPr="000B7E03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全年全州完成林业投资</w:t>
      </w:r>
      <w:r w:rsidR="002852E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3.1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亿元，比上年增长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252.3</w:t>
      </w:r>
      <w:r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。完成造林面积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83.84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万亩，增长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284.4</w:t>
      </w:r>
      <w:r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；义务植树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468.4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万株，</w:t>
      </w:r>
      <w:r w:rsidR="008332B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下降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13.9</w:t>
      </w:r>
      <w:r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；新育苗</w:t>
      </w:r>
      <w:r w:rsidR="008332B8" w:rsidRPr="00B81184">
        <w:rPr>
          <w:rFonts w:ascii="Arial" w:eastAsia="仿宋" w:hAnsi="Arial" w:cs="Arial"/>
          <w:color w:val="000000"/>
          <w:kern w:val="0"/>
          <w:sz w:val="32"/>
          <w:szCs w:val="32"/>
        </w:rPr>
        <w:t>1200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亩，</w:t>
      </w:r>
      <w:r w:rsidR="008332B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与上年持平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C44B2" w:rsidRPr="000B7E03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全年全州规模以上工业企业综合能源消费量</w:t>
      </w:r>
      <w:r w:rsidR="00087421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10.19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万吨标准煤，比上年</w:t>
      </w:r>
      <w:r w:rsidR="000874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下降</w:t>
      </w:r>
      <w:r w:rsidR="00087421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4.38</w:t>
      </w:r>
      <w:r w:rsidR="002852E8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 xml:space="preserve"> </w:t>
      </w:r>
      <w:r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。其中，工业生产原煤消费量</w:t>
      </w:r>
      <w:r w:rsidR="00087421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8.29</w:t>
      </w:r>
      <w:r w:rsidR="00087421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万吨，下降</w:t>
      </w:r>
      <w:r w:rsidR="00087421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1.6</w:t>
      </w:r>
      <w:r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；工业生产电力消费量</w:t>
      </w:r>
      <w:r w:rsidR="00087421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34.43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亿千瓦时，下降</w:t>
      </w:r>
      <w:r w:rsidR="002852E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 xml:space="preserve"> </w:t>
      </w:r>
      <w:r w:rsidR="00087421"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1.0</w:t>
      </w:r>
      <w:r w:rsidRPr="006E417E">
        <w:rPr>
          <w:rFonts w:ascii="Arial" w:eastAsia="仿宋" w:hAnsi="Arial" w:cs="Arial"/>
          <w:color w:val="000000"/>
          <w:kern w:val="0"/>
          <w:sz w:val="32"/>
          <w:szCs w:val="32"/>
        </w:rPr>
        <w:t>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C44B2" w:rsidRDefault="00EC44B2" w:rsidP="00C6403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全年全州总供水量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2.46</w:t>
      </w:r>
      <w:r w:rsidR="004B7FF7">
        <w:rPr>
          <w:rFonts w:ascii="Arial" w:eastAsia="仿宋" w:hAnsi="Arial" w:cs="Arial" w:hint="eastAsia"/>
          <w:kern w:val="0"/>
          <w:sz w:val="32"/>
          <w:szCs w:val="32"/>
        </w:rPr>
        <w:t>2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9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亿立方米（不含向海西州供水量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0.092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亿立方米）,其中，地表水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2.2942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亿立方米，地下水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0.1687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亿立方米。用水量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2.4629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亿立方米,其中，农业用水量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2.2744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亿立方米（含畜禽用水量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0.1411</w:t>
      </w:r>
      <w:r w:rsidR="00B12ED6" w:rsidRPr="000B7E03">
        <w:rPr>
          <w:rFonts w:ascii="仿宋" w:eastAsia="仿宋" w:hAnsi="仿宋" w:cs="宋体" w:hint="eastAsia"/>
          <w:kern w:val="0"/>
          <w:sz w:val="32"/>
          <w:szCs w:val="32"/>
        </w:rPr>
        <w:t>亿立方米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），工业用水量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2.2744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亿立方米（不含水电），生活用水量</w:t>
      </w:r>
      <w:r w:rsidR="00B12ED6" w:rsidRPr="00B81184">
        <w:rPr>
          <w:rFonts w:ascii="Arial" w:eastAsia="仿宋" w:hAnsi="Arial" w:cs="Arial"/>
          <w:kern w:val="0"/>
          <w:sz w:val="32"/>
          <w:szCs w:val="32"/>
        </w:rPr>
        <w:t>0.1508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亿立方米（含第三产业及建筑业用水量</w:t>
      </w:r>
      <w:r w:rsidR="00B12ED6" w:rsidRPr="003D451F">
        <w:rPr>
          <w:rFonts w:ascii="Arial" w:eastAsia="仿宋" w:hAnsi="Arial" w:cs="Arial"/>
          <w:kern w:val="0"/>
          <w:sz w:val="32"/>
          <w:szCs w:val="32"/>
        </w:rPr>
        <w:t>0.0448</w:t>
      </w:r>
      <w:r w:rsidR="00B12ED6">
        <w:rPr>
          <w:rFonts w:ascii="仿宋" w:eastAsia="仿宋" w:hAnsi="仿宋" w:cs="宋体" w:hint="eastAsia"/>
          <w:kern w:val="0"/>
          <w:sz w:val="32"/>
          <w:szCs w:val="32"/>
        </w:rPr>
        <w:t>亿立方米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），生态环境用水量</w:t>
      </w:r>
      <w:r w:rsidR="00B12ED6" w:rsidRPr="003D451F">
        <w:rPr>
          <w:rFonts w:ascii="Arial" w:eastAsia="仿宋" w:hAnsi="Arial" w:cs="Arial"/>
          <w:kern w:val="0"/>
          <w:sz w:val="32"/>
          <w:szCs w:val="32"/>
        </w:rPr>
        <w:t>0.002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亿立方米。全州重要及一般江河湖泊水功能区水质达标率为</w:t>
      </w:r>
      <w:r w:rsidR="00B12ED6" w:rsidRPr="003D451F">
        <w:rPr>
          <w:rFonts w:ascii="Arial" w:eastAsia="仿宋" w:hAnsi="Arial" w:cs="Arial"/>
          <w:kern w:val="0"/>
          <w:sz w:val="32"/>
          <w:szCs w:val="32"/>
        </w:rPr>
        <w:t>100</w:t>
      </w:r>
      <w:r w:rsidRPr="003D451F">
        <w:rPr>
          <w:rFonts w:ascii="Arial" w:eastAsia="仿宋" w:hAnsi="Arial" w:cs="Arial"/>
          <w:kern w:val="0"/>
          <w:sz w:val="32"/>
          <w:szCs w:val="32"/>
        </w:rPr>
        <w:t>%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，农田灌溉水有效利用系数为</w:t>
      </w:r>
      <w:r w:rsidR="00B12ED6" w:rsidRPr="003D451F">
        <w:rPr>
          <w:rFonts w:ascii="Arial" w:eastAsia="仿宋" w:hAnsi="Arial" w:cs="Arial"/>
          <w:kern w:val="0"/>
          <w:sz w:val="32"/>
          <w:szCs w:val="32"/>
        </w:rPr>
        <w:t>0.4723</w:t>
      </w:r>
      <w:r w:rsidRPr="000B7E0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C44B2" w:rsidRPr="000B7E03" w:rsidRDefault="00EC44B2" w:rsidP="00C64032">
      <w:pPr>
        <w:widowControl/>
        <w:spacing w:line="560" w:lineRule="exact"/>
        <w:ind w:right="23" w:firstLine="601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全年全州共发生生产经营性事故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27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起，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同比下降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40.0%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死亡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，下降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26.7%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。其中，道路交通事故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25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起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，比上年减少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17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起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，下降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40.5%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死亡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20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，比上年减少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6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，下降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23.1%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；工矿商贸事故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起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，比上年减少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1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起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，下降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33.3%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；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死亡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，比上年减少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2</w:t>
      </w:r>
      <w:r w:rsidR="007E1DD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="003D451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，下降</w:t>
      </w:r>
      <w:r w:rsidR="003D451F" w:rsidRPr="003D451F">
        <w:rPr>
          <w:rFonts w:ascii="Arial" w:eastAsia="仿宋" w:hAnsi="Arial" w:cs="Arial"/>
          <w:color w:val="000000"/>
          <w:kern w:val="0"/>
          <w:sz w:val="32"/>
          <w:szCs w:val="32"/>
        </w:rPr>
        <w:t>50.0%</w:t>
      </w:r>
      <w:r w:rsidRPr="000B7E03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。</w:t>
      </w:r>
    </w:p>
    <w:p w:rsidR="00EC44B2" w:rsidRPr="000B7E03" w:rsidRDefault="00EC44B2" w:rsidP="00EC44B2">
      <w:pPr>
        <w:widowControl/>
        <w:tabs>
          <w:tab w:val="left" w:pos="180"/>
          <w:tab w:val="left" w:pos="5390"/>
        </w:tabs>
        <w:spacing w:line="560" w:lineRule="exact"/>
        <w:ind w:right="25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p w:rsidR="00AF60CA" w:rsidRDefault="00EC44B2" w:rsidP="00EC44B2">
      <w:pPr>
        <w:widowControl/>
        <w:tabs>
          <w:tab w:val="left" w:pos="180"/>
          <w:tab w:val="left" w:pos="5390"/>
        </w:tabs>
        <w:spacing w:line="380" w:lineRule="exact"/>
        <w:ind w:right="25"/>
        <w:jc w:val="left"/>
        <w:rPr>
          <w:rFonts w:ascii="仿宋" w:eastAsia="仿宋" w:hAnsi="仿宋" w:cs="宋体"/>
          <w:bCs/>
          <w:color w:val="000000"/>
          <w:kern w:val="0"/>
        </w:rPr>
      </w:pPr>
      <w:r w:rsidRPr="000B7E03">
        <w:rPr>
          <w:rFonts w:ascii="仿宋" w:eastAsia="仿宋" w:hAnsi="仿宋" w:cs="宋体" w:hint="eastAsia"/>
          <w:b/>
          <w:bCs/>
          <w:color w:val="000000"/>
          <w:kern w:val="0"/>
        </w:rPr>
        <w:t>注：</w:t>
      </w:r>
      <w:r w:rsidRPr="000B7E03">
        <w:rPr>
          <w:rFonts w:ascii="仿宋" w:eastAsia="仿宋" w:hAnsi="仿宋" w:cs="宋体" w:hint="eastAsia"/>
          <w:bCs/>
          <w:color w:val="000000"/>
          <w:kern w:val="0"/>
        </w:rPr>
        <w:t>1、</w:t>
      </w:r>
      <w:r w:rsidR="007E1DDF">
        <w:rPr>
          <w:rFonts w:ascii="仿宋" w:eastAsia="仿宋" w:hAnsi="仿宋" w:cs="宋体" w:hint="eastAsia"/>
          <w:bCs/>
          <w:color w:val="000000"/>
          <w:kern w:val="0"/>
        </w:rPr>
        <w:t>本公报中2018年数据均为初步统计数据。</w:t>
      </w:r>
    </w:p>
    <w:p w:rsidR="00EC44B2" w:rsidRDefault="007E1DDF" w:rsidP="00EC44B2">
      <w:pPr>
        <w:widowControl/>
        <w:tabs>
          <w:tab w:val="left" w:pos="180"/>
          <w:tab w:val="left" w:pos="5390"/>
        </w:tabs>
        <w:spacing w:line="380" w:lineRule="exact"/>
        <w:ind w:right="25"/>
        <w:jc w:val="left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bCs/>
          <w:color w:val="000000"/>
          <w:kern w:val="0"/>
        </w:rPr>
        <w:t xml:space="preserve">     2、</w:t>
      </w:r>
      <w:r w:rsidR="00EC44B2" w:rsidRPr="000B7E03">
        <w:rPr>
          <w:rFonts w:ascii="仿宋" w:eastAsia="仿宋" w:hAnsi="仿宋" w:cs="宋体" w:hint="eastAsia"/>
          <w:color w:val="000000"/>
        </w:rPr>
        <w:t>地区生产总值、各产业增加值</w:t>
      </w:r>
      <w:r>
        <w:rPr>
          <w:rFonts w:ascii="仿宋" w:eastAsia="仿宋" w:hAnsi="仿宋" w:cs="宋体" w:hint="eastAsia"/>
          <w:color w:val="000000"/>
        </w:rPr>
        <w:t>及人均生产总值按国家统计局2012年制定的《三次产业划分规定》口径统计，</w:t>
      </w:r>
      <w:r w:rsidR="00EC44B2" w:rsidRPr="000B7E03">
        <w:rPr>
          <w:rFonts w:ascii="仿宋" w:eastAsia="仿宋" w:hAnsi="仿宋" w:cs="宋体" w:hint="eastAsia"/>
          <w:color w:val="000000"/>
        </w:rPr>
        <w:t>绝对数按现价计算，增长速度按可比价格计算。</w:t>
      </w:r>
    </w:p>
    <w:p w:rsidR="007E1DDF" w:rsidRDefault="007E1DDF" w:rsidP="007E1DDF">
      <w:pPr>
        <w:widowControl/>
        <w:tabs>
          <w:tab w:val="left" w:pos="180"/>
          <w:tab w:val="left" w:pos="5390"/>
        </w:tabs>
        <w:spacing w:line="380" w:lineRule="exact"/>
        <w:ind w:right="25" w:firstLineChars="250" w:firstLine="525"/>
        <w:jc w:val="left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3、</w:t>
      </w:r>
      <w:r w:rsidR="000F4D61">
        <w:rPr>
          <w:rFonts w:ascii="仿宋" w:eastAsia="仿宋" w:hAnsi="仿宋" w:cs="宋体" w:hint="eastAsia"/>
          <w:color w:val="000000"/>
        </w:rPr>
        <w:t>规模以上工业企业统计口径为年主营业务收入2000万元及以上的工业企业。</w:t>
      </w:r>
    </w:p>
    <w:p w:rsidR="000F4D61" w:rsidRPr="000B7E03" w:rsidRDefault="000F4D61" w:rsidP="007E1DDF">
      <w:pPr>
        <w:widowControl/>
        <w:tabs>
          <w:tab w:val="left" w:pos="180"/>
          <w:tab w:val="left" w:pos="5390"/>
        </w:tabs>
        <w:spacing w:line="380" w:lineRule="exact"/>
        <w:ind w:right="25" w:firstLineChars="250" w:firstLine="525"/>
        <w:jc w:val="left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color w:val="000000"/>
        </w:rPr>
        <w:t>4、固定资产投资统计口径为计划投资500万元及以上固定资产项目投资及所有房地产开发项目。</w:t>
      </w:r>
    </w:p>
    <w:p w:rsidR="00EC44B2" w:rsidRPr="000B7E03" w:rsidRDefault="00EC44B2" w:rsidP="00AF60CA">
      <w:pPr>
        <w:widowControl/>
        <w:spacing w:line="380" w:lineRule="exact"/>
        <w:ind w:firstLine="420"/>
        <w:rPr>
          <w:rFonts w:ascii="仿宋" w:eastAsia="仿宋" w:hAnsi="仿宋" w:cs="仿宋_GB2312"/>
          <w:kern w:val="0"/>
          <w:sz w:val="32"/>
          <w:szCs w:val="32"/>
        </w:rPr>
      </w:pPr>
      <w:r w:rsidRPr="000B7E03">
        <w:rPr>
          <w:rFonts w:ascii="仿宋" w:eastAsia="仿宋" w:hAnsi="仿宋" w:cs="宋体" w:hint="eastAsia"/>
          <w:b/>
          <w:bCs/>
          <w:color w:val="000000"/>
        </w:rPr>
        <w:t>资料来源：</w:t>
      </w:r>
      <w:r w:rsidRPr="000B7E03">
        <w:rPr>
          <w:rFonts w:ascii="仿宋" w:eastAsia="仿宋" w:hAnsi="仿宋" w:cs="宋体" w:hint="eastAsia"/>
          <w:color w:val="000000"/>
        </w:rPr>
        <w:t>本公报中常住人口数通过人口变动抽样调查数据推算得出；出生率、死亡率</w:t>
      </w:r>
      <w:r w:rsidR="00AF60CA">
        <w:rPr>
          <w:rFonts w:ascii="仿宋" w:eastAsia="仿宋" w:hAnsi="仿宋" w:cs="宋体" w:hint="eastAsia"/>
          <w:color w:val="000000"/>
        </w:rPr>
        <w:t>、</w:t>
      </w:r>
      <w:r w:rsidR="00AF60CA" w:rsidRPr="00AF60CA">
        <w:rPr>
          <w:rFonts w:ascii="仿宋" w:eastAsia="仿宋" w:hAnsi="仿宋" w:hint="eastAsia"/>
          <w:noProof/>
          <w:szCs w:val="21"/>
        </w:rPr>
        <w:t>卫生</w:t>
      </w:r>
      <w:r w:rsidRPr="000B7E03">
        <w:rPr>
          <w:rFonts w:ascii="仿宋" w:eastAsia="仿宋" w:hAnsi="仿宋" w:cs="宋体" w:hint="eastAsia"/>
          <w:color w:val="000000"/>
        </w:rPr>
        <w:t>等数据来自州卫生</w:t>
      </w:r>
      <w:r w:rsidR="00AF60CA">
        <w:rPr>
          <w:rFonts w:ascii="仿宋" w:eastAsia="仿宋" w:hAnsi="仿宋" w:cs="宋体" w:hint="eastAsia"/>
          <w:color w:val="000000"/>
        </w:rPr>
        <w:t>健康</w:t>
      </w:r>
      <w:r w:rsidRPr="000B7E03">
        <w:rPr>
          <w:rFonts w:ascii="仿宋" w:eastAsia="仿宋" w:hAnsi="仿宋" w:cs="宋体" w:hint="eastAsia"/>
          <w:color w:val="000000"/>
        </w:rPr>
        <w:t>委员会；财政数据来自州财政局；物价数据来自国家统计局海南州调查队；就业数据、城镇登记失业率、社会保险来自州人力资源和社会保障局</w:t>
      </w:r>
      <w:r w:rsidR="00AF60CA">
        <w:rPr>
          <w:rFonts w:ascii="仿宋" w:eastAsia="仿宋" w:hAnsi="仿宋" w:cs="宋体" w:hint="eastAsia"/>
          <w:color w:val="000000"/>
        </w:rPr>
        <w:t>；</w:t>
      </w:r>
      <w:r w:rsidR="00AF60CA" w:rsidRPr="000B7E03">
        <w:rPr>
          <w:rFonts w:ascii="仿宋" w:eastAsia="仿宋" w:hAnsi="仿宋" w:cs="宋体" w:hint="eastAsia"/>
          <w:color w:val="000000"/>
        </w:rPr>
        <w:t>医保数据</w:t>
      </w:r>
      <w:r w:rsidR="00AF60CA">
        <w:rPr>
          <w:rFonts w:ascii="仿宋" w:eastAsia="仿宋" w:hAnsi="仿宋" w:cs="宋体" w:hint="eastAsia"/>
          <w:color w:val="000000"/>
        </w:rPr>
        <w:t>来自州医疗保障局</w:t>
      </w:r>
      <w:r w:rsidRPr="000B7E03">
        <w:rPr>
          <w:rFonts w:ascii="仿宋" w:eastAsia="仿宋" w:hAnsi="仿宋" w:cs="宋体" w:hint="eastAsia"/>
          <w:color w:val="000000"/>
        </w:rPr>
        <w:t>；公路通车里程、营运车辆保有量数据来自州交通运输局；通讯业务量、固定电话用户数、移动电话用户数来自州移动、联通、电信公司；邮政业务量来自州邮政公司；旅游数据</w:t>
      </w:r>
      <w:r w:rsidR="00AF60CA">
        <w:rPr>
          <w:rFonts w:ascii="仿宋" w:eastAsia="仿宋" w:hAnsi="仿宋" w:cs="宋体" w:hint="eastAsia"/>
          <w:color w:val="000000"/>
        </w:rPr>
        <w:t>和</w:t>
      </w:r>
      <w:r w:rsidR="00AF60CA" w:rsidRPr="000B7E03">
        <w:rPr>
          <w:rFonts w:ascii="仿宋" w:eastAsia="仿宋" w:hAnsi="仿宋" w:cs="宋体" w:hint="eastAsia"/>
          <w:color w:val="000000"/>
        </w:rPr>
        <w:t>艺术表演团体等数据来自州</w:t>
      </w:r>
      <w:r w:rsidR="00AF60CA">
        <w:rPr>
          <w:rFonts w:ascii="仿宋" w:eastAsia="仿宋" w:hAnsi="仿宋" w:cs="宋体" w:hint="eastAsia"/>
          <w:color w:val="000000"/>
        </w:rPr>
        <w:t>文体旅游广电</w:t>
      </w:r>
      <w:r w:rsidR="00AF60CA" w:rsidRPr="000B7E03">
        <w:rPr>
          <w:rFonts w:ascii="仿宋" w:eastAsia="仿宋" w:hAnsi="仿宋" w:cs="宋体" w:hint="eastAsia"/>
          <w:color w:val="000000"/>
        </w:rPr>
        <w:t>局；</w:t>
      </w:r>
      <w:r w:rsidRPr="000B7E03">
        <w:rPr>
          <w:rFonts w:ascii="仿宋" w:eastAsia="仿宋" w:hAnsi="仿宋" w:cs="宋体" w:hint="eastAsia"/>
          <w:color w:val="000000"/>
        </w:rPr>
        <w:t>金融数据来自中国人民银行海南中心支行；保险业数据来自州</w:t>
      </w:r>
      <w:r w:rsidR="00AF60CA">
        <w:rPr>
          <w:rFonts w:ascii="仿宋" w:eastAsia="仿宋" w:hAnsi="仿宋" w:cs="宋体" w:hint="eastAsia"/>
          <w:color w:val="000000"/>
        </w:rPr>
        <w:t>银监局</w:t>
      </w:r>
      <w:r w:rsidRPr="000B7E03">
        <w:rPr>
          <w:rFonts w:ascii="仿宋" w:eastAsia="仿宋" w:hAnsi="仿宋" w:cs="宋体" w:hint="eastAsia"/>
          <w:color w:val="000000"/>
        </w:rPr>
        <w:t>；教育数据来自州教育局；科技数据来自州科学技术局；低保数据来自州民政局；国土资源数据来自州</w:t>
      </w:r>
      <w:r w:rsidR="009A2EBA">
        <w:rPr>
          <w:rFonts w:ascii="仿宋" w:eastAsia="仿宋" w:hAnsi="仿宋" w:cs="宋体" w:hint="eastAsia"/>
          <w:color w:val="000000"/>
        </w:rPr>
        <w:t>自然</w:t>
      </w:r>
      <w:r w:rsidRPr="000B7E03">
        <w:rPr>
          <w:rFonts w:ascii="仿宋" w:eastAsia="仿宋" w:hAnsi="仿宋" w:cs="宋体" w:hint="eastAsia"/>
          <w:color w:val="000000"/>
        </w:rPr>
        <w:t>资源局；林业投资等数据来自州林业</w:t>
      </w:r>
      <w:r w:rsidR="009A2EBA">
        <w:rPr>
          <w:rFonts w:ascii="仿宋" w:eastAsia="仿宋" w:hAnsi="仿宋" w:cs="宋体" w:hint="eastAsia"/>
          <w:color w:val="000000"/>
        </w:rPr>
        <w:t>和草原</w:t>
      </w:r>
      <w:r w:rsidRPr="000B7E03">
        <w:rPr>
          <w:rFonts w:ascii="仿宋" w:eastAsia="仿宋" w:hAnsi="仿宋" w:cs="宋体" w:hint="eastAsia"/>
          <w:color w:val="000000"/>
        </w:rPr>
        <w:t>局；水资源数据来自州水利局；安全事故死亡人数、</w:t>
      </w:r>
      <w:r w:rsidRPr="000B7E03">
        <w:rPr>
          <w:rFonts w:ascii="仿宋" w:eastAsia="仿宋" w:hAnsi="仿宋" w:cs="仿宋_GB2312" w:hint="eastAsia"/>
          <w:color w:val="000000"/>
          <w:kern w:val="0"/>
        </w:rPr>
        <w:t>GDP生产安全事故死亡率、工矿商贸就业人员生产安全事故死亡率和道路交通死亡率</w:t>
      </w:r>
      <w:r w:rsidRPr="000B7E03">
        <w:rPr>
          <w:rFonts w:ascii="仿宋" w:eastAsia="仿宋" w:hAnsi="仿宋" w:cs="宋体" w:hint="eastAsia"/>
          <w:color w:val="000000"/>
        </w:rPr>
        <w:t>来自州</w:t>
      </w:r>
      <w:r w:rsidR="009A2EBA">
        <w:rPr>
          <w:rFonts w:ascii="仿宋" w:eastAsia="仿宋" w:hAnsi="仿宋" w:cs="宋体" w:hint="eastAsia"/>
          <w:color w:val="000000"/>
        </w:rPr>
        <w:t>工业商务和信息化局</w:t>
      </w:r>
      <w:r w:rsidRPr="000B7E03">
        <w:rPr>
          <w:rFonts w:ascii="仿宋" w:eastAsia="仿宋" w:hAnsi="仿宋" w:cs="宋体" w:hint="eastAsia"/>
          <w:color w:val="000000"/>
        </w:rPr>
        <w:t>。其他数据均来自州统计</w:t>
      </w:r>
      <w:r w:rsidR="002852E8">
        <w:rPr>
          <w:rFonts w:ascii="仿宋" w:eastAsia="仿宋" w:hAnsi="仿宋" w:cs="宋体" w:hint="eastAsia"/>
          <w:color w:val="000000"/>
        </w:rPr>
        <w:t>局。</w:t>
      </w:r>
    </w:p>
    <w:p w:rsidR="00513F68" w:rsidRPr="000B7E03" w:rsidRDefault="00513F68" w:rsidP="00513F68">
      <w:pPr>
        <w:widowControl/>
        <w:spacing w:line="560" w:lineRule="exact"/>
        <w:ind w:right="25" w:firstLine="600"/>
        <w:jc w:val="left"/>
        <w:rPr>
          <w:rFonts w:ascii="仿宋" w:eastAsia="仿宋" w:hAnsi="仿宋" w:cs="仿宋_GB2312"/>
          <w:kern w:val="0"/>
          <w:sz w:val="32"/>
          <w:szCs w:val="32"/>
        </w:rPr>
      </w:pPr>
    </w:p>
    <w:p w:rsidR="0034347F" w:rsidRPr="00513F68" w:rsidRDefault="0034347F" w:rsidP="00513F68">
      <w:pPr>
        <w:rPr>
          <w:rFonts w:ascii="仿宋" w:eastAsia="仿宋" w:hAnsi="仿宋"/>
        </w:rPr>
      </w:pPr>
    </w:p>
    <w:sectPr w:rsidR="0034347F" w:rsidRPr="00513F68" w:rsidSect="0034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95" w:rsidRDefault="00FE0F95" w:rsidP="008A209F">
      <w:r>
        <w:separator/>
      </w:r>
    </w:p>
  </w:endnote>
  <w:endnote w:type="continuationSeparator" w:id="0">
    <w:p w:rsidR="00FE0F95" w:rsidRDefault="00FE0F95" w:rsidP="008A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95" w:rsidRDefault="00FE0F95" w:rsidP="008A209F">
      <w:r>
        <w:separator/>
      </w:r>
    </w:p>
  </w:footnote>
  <w:footnote w:type="continuationSeparator" w:id="0">
    <w:p w:rsidR="00FE0F95" w:rsidRDefault="00FE0F95" w:rsidP="008A2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542E0"/>
    <w:multiLevelType w:val="hybridMultilevel"/>
    <w:tmpl w:val="2FEA91E8"/>
    <w:lvl w:ilvl="0" w:tplc="D36EC1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C30BE9"/>
    <w:multiLevelType w:val="hybridMultilevel"/>
    <w:tmpl w:val="80FCCDF4"/>
    <w:lvl w:ilvl="0" w:tplc="C74AFF66">
      <w:start w:val="3"/>
      <w:numFmt w:val="japaneseCounting"/>
      <w:lvlText w:val="%1、"/>
      <w:lvlJc w:val="left"/>
      <w:pPr>
        <w:ind w:left="3697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777C06"/>
    <w:multiLevelType w:val="hybridMultilevel"/>
    <w:tmpl w:val="B952204E"/>
    <w:lvl w:ilvl="0" w:tplc="B00AE6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BDB"/>
    <w:rsid w:val="00011A59"/>
    <w:rsid w:val="00014278"/>
    <w:rsid w:val="00052832"/>
    <w:rsid w:val="0006489C"/>
    <w:rsid w:val="00073A5F"/>
    <w:rsid w:val="00087421"/>
    <w:rsid w:val="000F4D61"/>
    <w:rsid w:val="00100296"/>
    <w:rsid w:val="00106782"/>
    <w:rsid w:val="00110498"/>
    <w:rsid w:val="00115774"/>
    <w:rsid w:val="00127E20"/>
    <w:rsid w:val="00177070"/>
    <w:rsid w:val="001B1C8E"/>
    <w:rsid w:val="001C1E0D"/>
    <w:rsid w:val="001C656C"/>
    <w:rsid w:val="00221420"/>
    <w:rsid w:val="00222F4D"/>
    <w:rsid w:val="00233EB4"/>
    <w:rsid w:val="00251465"/>
    <w:rsid w:val="002568E3"/>
    <w:rsid w:val="002660CC"/>
    <w:rsid w:val="00270A00"/>
    <w:rsid w:val="002852E8"/>
    <w:rsid w:val="002B6E00"/>
    <w:rsid w:val="002C49B4"/>
    <w:rsid w:val="002E5C6F"/>
    <w:rsid w:val="0031663E"/>
    <w:rsid w:val="0034347F"/>
    <w:rsid w:val="00343A59"/>
    <w:rsid w:val="003457A1"/>
    <w:rsid w:val="00351A29"/>
    <w:rsid w:val="0037392B"/>
    <w:rsid w:val="00382781"/>
    <w:rsid w:val="003D451F"/>
    <w:rsid w:val="00403D56"/>
    <w:rsid w:val="0043117A"/>
    <w:rsid w:val="00431DCA"/>
    <w:rsid w:val="00452865"/>
    <w:rsid w:val="00485FC1"/>
    <w:rsid w:val="004A48D1"/>
    <w:rsid w:val="004B7FF7"/>
    <w:rsid w:val="004D082C"/>
    <w:rsid w:val="004D3411"/>
    <w:rsid w:val="004D4AC8"/>
    <w:rsid w:val="00500007"/>
    <w:rsid w:val="00513F68"/>
    <w:rsid w:val="0053726A"/>
    <w:rsid w:val="005373E2"/>
    <w:rsid w:val="00543BDB"/>
    <w:rsid w:val="00560DE1"/>
    <w:rsid w:val="005611CD"/>
    <w:rsid w:val="005B6AEB"/>
    <w:rsid w:val="005C799C"/>
    <w:rsid w:val="005D2ADC"/>
    <w:rsid w:val="005F29EA"/>
    <w:rsid w:val="00675635"/>
    <w:rsid w:val="006A66D1"/>
    <w:rsid w:val="006C52A1"/>
    <w:rsid w:val="006E417E"/>
    <w:rsid w:val="006E5CCD"/>
    <w:rsid w:val="00730EAD"/>
    <w:rsid w:val="007816C3"/>
    <w:rsid w:val="007B60F7"/>
    <w:rsid w:val="007C3F21"/>
    <w:rsid w:val="007E1DDF"/>
    <w:rsid w:val="007F3AEE"/>
    <w:rsid w:val="007F4877"/>
    <w:rsid w:val="00810204"/>
    <w:rsid w:val="0081552C"/>
    <w:rsid w:val="008201BA"/>
    <w:rsid w:val="008332B8"/>
    <w:rsid w:val="008A209F"/>
    <w:rsid w:val="008B7235"/>
    <w:rsid w:val="008C48CE"/>
    <w:rsid w:val="00911CE7"/>
    <w:rsid w:val="00955E78"/>
    <w:rsid w:val="009A2EBA"/>
    <w:rsid w:val="00A20807"/>
    <w:rsid w:val="00A20AF1"/>
    <w:rsid w:val="00A358B0"/>
    <w:rsid w:val="00A40EF2"/>
    <w:rsid w:val="00A44CD6"/>
    <w:rsid w:val="00A505E3"/>
    <w:rsid w:val="00A56605"/>
    <w:rsid w:val="00A81CD9"/>
    <w:rsid w:val="00AA39FB"/>
    <w:rsid w:val="00AB264E"/>
    <w:rsid w:val="00AC702A"/>
    <w:rsid w:val="00AF60CA"/>
    <w:rsid w:val="00AF7A2A"/>
    <w:rsid w:val="00B07B72"/>
    <w:rsid w:val="00B12ED6"/>
    <w:rsid w:val="00B345C7"/>
    <w:rsid w:val="00B41056"/>
    <w:rsid w:val="00B43067"/>
    <w:rsid w:val="00B669D2"/>
    <w:rsid w:val="00B81184"/>
    <w:rsid w:val="00B93F7A"/>
    <w:rsid w:val="00BA229C"/>
    <w:rsid w:val="00BD0725"/>
    <w:rsid w:val="00BF3345"/>
    <w:rsid w:val="00C00924"/>
    <w:rsid w:val="00C05154"/>
    <w:rsid w:val="00C165F8"/>
    <w:rsid w:val="00C32759"/>
    <w:rsid w:val="00C442DB"/>
    <w:rsid w:val="00C64032"/>
    <w:rsid w:val="00C7104D"/>
    <w:rsid w:val="00C73EC1"/>
    <w:rsid w:val="00CA4F79"/>
    <w:rsid w:val="00CB212B"/>
    <w:rsid w:val="00CB4BE4"/>
    <w:rsid w:val="00CC345B"/>
    <w:rsid w:val="00CD61EA"/>
    <w:rsid w:val="00D12337"/>
    <w:rsid w:val="00D21880"/>
    <w:rsid w:val="00D300CF"/>
    <w:rsid w:val="00D63832"/>
    <w:rsid w:val="00DB0A46"/>
    <w:rsid w:val="00DE41C4"/>
    <w:rsid w:val="00DE7D4F"/>
    <w:rsid w:val="00DE7F87"/>
    <w:rsid w:val="00DF1CFD"/>
    <w:rsid w:val="00E11EF2"/>
    <w:rsid w:val="00E608B1"/>
    <w:rsid w:val="00E9191F"/>
    <w:rsid w:val="00EA5A95"/>
    <w:rsid w:val="00EC44B2"/>
    <w:rsid w:val="00ED7159"/>
    <w:rsid w:val="00F34C37"/>
    <w:rsid w:val="00F5383A"/>
    <w:rsid w:val="00F8054F"/>
    <w:rsid w:val="00F93A95"/>
    <w:rsid w:val="00F96822"/>
    <w:rsid w:val="00FB7AA2"/>
    <w:rsid w:val="00FD4216"/>
    <w:rsid w:val="00FE0F95"/>
    <w:rsid w:val="00FF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43BD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43BDB"/>
  </w:style>
  <w:style w:type="character" w:styleId="a4">
    <w:name w:val="endnote reference"/>
    <w:basedOn w:val="a0"/>
    <w:uiPriority w:val="99"/>
    <w:semiHidden/>
    <w:unhideWhenUsed/>
    <w:rsid w:val="00543BDB"/>
  </w:style>
  <w:style w:type="paragraph" w:styleId="a5">
    <w:name w:val="List Paragraph"/>
    <w:basedOn w:val="a"/>
    <w:uiPriority w:val="99"/>
    <w:qFormat/>
    <w:rsid w:val="00270A00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C165F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165F8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8A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8A209F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8A2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8A209F"/>
    <w:rPr>
      <w:sz w:val="18"/>
      <w:szCs w:val="18"/>
    </w:rPr>
  </w:style>
  <w:style w:type="paragraph" w:styleId="a9">
    <w:name w:val="Normal (Web)"/>
    <w:basedOn w:val="a"/>
    <w:uiPriority w:val="99"/>
    <w:rsid w:val="00EC4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1301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5821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23" w:color="D8D8D8"/>
                        <w:right w:val="none" w:sz="0" w:space="0" w:color="auto"/>
                      </w:divBdr>
                      <w:divsChild>
                        <w:div w:id="15200438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0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5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540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  <w:divsChild>
                <w:div w:id="1916622602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</w:div>
                <w:div w:id="1558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23" w:color="D8D8D8"/>
                        <w:right w:val="none" w:sz="0" w:space="0" w:color="auto"/>
                      </w:divBdr>
                      <w:divsChild>
                        <w:div w:id="1385983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esktop\&#20844;&#25253;&#22270;&#32473;&#21360;&#21047;&#2137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844;&#25253;&#22270;&#32473;&#21360;&#21047;&#2137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844;&#25253;&#22270;&#32473;&#21360;&#21047;&#21378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0844;&#25253;&#22270;&#32473;&#21360;&#21047;&#21378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istrator\Desktop\&#21103;&#26412;&#20844;&#25253;&#22270;&#32473;&#21360;&#21047;&#21378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dministrator\Desktop\&#20844;&#25253;&#22270;&#32473;&#21360;&#21047;&#21378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dministrator\Desktop\&#20844;&#25253;&#22270;&#32473;&#21360;&#21047;&#2137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1">
                <a:latin typeface="微软雅黑" pitchFamily="34" charset="-122"/>
                <a:ea typeface="微软雅黑" pitchFamily="34" charset="-122"/>
              </a:defRPr>
            </a:pPr>
            <a:r>
              <a:rPr lang="zh-CN" altLang="en-US" sz="1200" b="1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 b="1">
                <a:latin typeface="微软雅黑" pitchFamily="34" charset="-122"/>
                <a:ea typeface="微软雅黑" pitchFamily="34" charset="-122"/>
              </a:rPr>
              <a:t>1    2018</a:t>
            </a:r>
            <a:r>
              <a:rPr lang="zh-CN" altLang="en-US" sz="1200" b="1">
                <a:latin typeface="微软雅黑" pitchFamily="34" charset="-122"/>
                <a:ea typeface="微软雅黑" pitchFamily="34" charset="-122"/>
              </a:rPr>
              <a:t>年全州地区生产总值及增速图</a:t>
            </a:r>
            <a:endParaRPr lang="zh-CN" sz="1200" b="1">
              <a:latin typeface="微软雅黑" pitchFamily="34" charset="-122"/>
              <a:ea typeface="微软雅黑" pitchFamily="34" charset="-122"/>
            </a:endParaRPr>
          </a:p>
        </c:rich>
      </c:tx>
      <c:layout>
        <c:manualLayout>
          <c:xMode val="edge"/>
          <c:yMode val="edge"/>
          <c:x val="0.22875030098723825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地区生产总值!$C$5</c:f>
              <c:strCache>
                <c:ptCount val="1"/>
                <c:pt idx="0">
                  <c:v>地区生产总值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地区生产总值!$B$6:$B$9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地区生产总值!$C$6:$C$9</c:f>
              <c:numCache>
                <c:formatCode>General</c:formatCode>
                <c:ptCount val="4"/>
                <c:pt idx="0">
                  <c:v>16.53</c:v>
                </c:pt>
                <c:pt idx="1">
                  <c:v>44.67</c:v>
                </c:pt>
                <c:pt idx="2">
                  <c:v>90.77</c:v>
                </c:pt>
                <c:pt idx="3">
                  <c:v>158.18</c:v>
                </c:pt>
              </c:numCache>
            </c:numRef>
          </c:val>
        </c:ser>
        <c:axId val="138490624"/>
        <c:axId val="138492928"/>
      </c:barChart>
      <c:lineChart>
        <c:grouping val="standard"/>
        <c:ser>
          <c:idx val="1"/>
          <c:order val="1"/>
          <c:tx>
            <c:strRef>
              <c:f>地区生产总值!$D$5</c:f>
              <c:strCache>
                <c:ptCount val="1"/>
                <c:pt idx="0">
                  <c:v>比上年增长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circle"/>
            <c:size val="5"/>
            <c:spPr>
              <a:ln>
                <a:solidFill>
                  <a:srgbClr val="FFC000"/>
                </a:solidFill>
              </a:ln>
            </c:spPr>
          </c:marker>
          <c:cat>
            <c:strRef>
              <c:f>地区生产总值!$B$6:$B$9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地区生产总值!$D$6:$D$9</c:f>
              <c:numCache>
                <c:formatCode>General</c:formatCode>
                <c:ptCount val="4"/>
                <c:pt idx="0">
                  <c:v>9.4</c:v>
                </c:pt>
                <c:pt idx="1">
                  <c:v>7.4</c:v>
                </c:pt>
                <c:pt idx="2">
                  <c:v>8.1</c:v>
                </c:pt>
                <c:pt idx="3">
                  <c:v>6.2</c:v>
                </c:pt>
              </c:numCache>
            </c:numRef>
          </c:val>
        </c:ser>
        <c:marker val="1"/>
        <c:axId val="138526080"/>
        <c:axId val="138523776"/>
      </c:lineChart>
      <c:catAx>
        <c:axId val="138490624"/>
        <c:scaling>
          <c:orientation val="minMax"/>
        </c:scaling>
        <c:axPos val="b"/>
        <c:majorTickMark val="none"/>
        <c:tickLblPos val="nextTo"/>
        <c:crossAx val="138492928"/>
        <c:crosses val="autoZero"/>
        <c:auto val="1"/>
        <c:lblAlgn val="ctr"/>
        <c:lblOffset val="100"/>
      </c:catAx>
      <c:valAx>
        <c:axId val="13849292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zh-CN" altLang="en-US" sz="900" b="0"/>
                  <a:t>亿元</a:t>
                </a:r>
              </a:p>
            </c:rich>
          </c:tx>
          <c:layout>
            <c:manualLayout>
              <c:xMode val="edge"/>
              <c:yMode val="edge"/>
              <c:x val="0.18595450049455983"/>
              <c:y val="8.8234716274500732E-2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38490624"/>
        <c:crosses val="autoZero"/>
        <c:crossBetween val="between"/>
      </c:valAx>
      <c:valAx>
        <c:axId val="138523776"/>
        <c:scaling>
          <c:orientation val="minMax"/>
          <c:max val="10"/>
          <c:min val="0"/>
        </c:scaling>
        <c:axPos val="r"/>
        <c:numFmt formatCode="General" sourceLinked="1"/>
        <c:majorTickMark val="in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38526080"/>
        <c:crosses val="max"/>
        <c:crossBetween val="between"/>
        <c:majorUnit val="1"/>
        <c:minorUnit val="0.2"/>
      </c:valAx>
      <c:catAx>
        <c:axId val="138526080"/>
        <c:scaling>
          <c:orientation val="minMax"/>
        </c:scaling>
        <c:delete val="1"/>
        <c:axPos val="b"/>
        <c:tickLblPos val="none"/>
        <c:crossAx val="138523776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zh-CN"/>
          </a:p>
        </c:txPr>
      </c:dTable>
      <c:spPr>
        <a:noFill/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>
                <a:latin typeface="微软雅黑" pitchFamily="34" charset="-122"/>
                <a:ea typeface="微软雅黑" pitchFamily="34" charset="-122"/>
              </a:defRPr>
            </a:pP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>
                <a:latin typeface="微软雅黑" pitchFamily="34" charset="-122"/>
                <a:ea typeface="微软雅黑" pitchFamily="34" charset="-122"/>
              </a:rPr>
              <a:t>2   2018</a:t>
            </a: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年共和地区居民消费价格趋势</a:t>
            </a:r>
            <a:r>
              <a:rPr lang="en-US" altLang="zh-CN" sz="1200">
                <a:latin typeface="微软雅黑" pitchFamily="34" charset="-122"/>
                <a:ea typeface="微软雅黑" pitchFamily="34" charset="-122"/>
              </a:rPr>
              <a:t>  </a:t>
            </a:r>
            <a:endParaRPr lang="zh-CN" altLang="en-US" sz="1200">
              <a:latin typeface="微软雅黑" pitchFamily="34" charset="-122"/>
              <a:ea typeface="微软雅黑" pitchFamily="34" charset="-122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20792722547108541"/>
          <c:y val="0.24299470762875952"/>
          <c:w val="0.76348278102663658"/>
          <c:h val="0.53970965104771762"/>
        </c:manualLayout>
      </c:layout>
      <c:lineChart>
        <c:grouping val="standard"/>
        <c:ser>
          <c:idx val="1"/>
          <c:order val="0"/>
          <c:tx>
            <c:v>月度同比</c:v>
          </c:tx>
          <c:spPr>
            <a:ln w="19050"/>
          </c:spPr>
          <c:cat>
            <c:strRef>
              <c:f>数据表!$B$174:$B$184</c:f>
              <c:strCache>
                <c:ptCount val="11"/>
                <c:pt idx="0">
                  <c:v>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</c:strCache>
            </c:strRef>
          </c:cat>
          <c:val>
            <c:numRef>
              <c:f>数据表!$H$174:$H$184</c:f>
              <c:numCache>
                <c:formatCode>0.0_ </c:formatCode>
                <c:ptCount val="11"/>
                <c:pt idx="0">
                  <c:v>2.5</c:v>
                </c:pt>
                <c:pt idx="1">
                  <c:v>2</c:v>
                </c:pt>
                <c:pt idx="2">
                  <c:v>2.6</c:v>
                </c:pt>
                <c:pt idx="3">
                  <c:v>2.6</c:v>
                </c:pt>
                <c:pt idx="4">
                  <c:v>3.1</c:v>
                </c:pt>
                <c:pt idx="5">
                  <c:v>3.1</c:v>
                </c:pt>
                <c:pt idx="6">
                  <c:v>2.8</c:v>
                </c:pt>
                <c:pt idx="7">
                  <c:v>3</c:v>
                </c:pt>
                <c:pt idx="8">
                  <c:v>3.3</c:v>
                </c:pt>
                <c:pt idx="9">
                  <c:v>2.8</c:v>
                </c:pt>
                <c:pt idx="10">
                  <c:v>2.2999999999999998</c:v>
                </c:pt>
              </c:numCache>
            </c:numRef>
          </c:val>
        </c:ser>
        <c:ser>
          <c:idx val="0"/>
          <c:order val="1"/>
          <c:tx>
            <c:v>累计同比</c:v>
          </c:tx>
          <c:spPr>
            <a:ln w="25400"/>
          </c:spPr>
          <c:cat>
            <c:strRef>
              <c:f>数据表!$B$174:$B$184</c:f>
              <c:strCache>
                <c:ptCount val="11"/>
                <c:pt idx="0">
                  <c:v>2月</c:v>
                </c:pt>
                <c:pt idx="1">
                  <c:v>3月</c:v>
                </c:pt>
                <c:pt idx="2">
                  <c:v>4月</c:v>
                </c:pt>
                <c:pt idx="3">
                  <c:v>5月</c:v>
                </c:pt>
                <c:pt idx="4">
                  <c:v>6月</c:v>
                </c:pt>
                <c:pt idx="5">
                  <c:v>7月</c:v>
                </c:pt>
                <c:pt idx="6">
                  <c:v>8月</c:v>
                </c:pt>
                <c:pt idx="7">
                  <c:v>9月</c:v>
                </c:pt>
                <c:pt idx="8">
                  <c:v>10月</c:v>
                </c:pt>
                <c:pt idx="9">
                  <c:v>11月</c:v>
                </c:pt>
                <c:pt idx="10">
                  <c:v>12月</c:v>
                </c:pt>
              </c:strCache>
            </c:strRef>
          </c:cat>
          <c:val>
            <c:numRef>
              <c:f>数据表!$Q$174:$Q$184</c:f>
              <c:numCache>
                <c:formatCode>General</c:formatCode>
                <c:ptCount val="11"/>
                <c:pt idx="0">
                  <c:v>2.2000000000000002</c:v>
                </c:pt>
                <c:pt idx="1">
                  <c:v>2.2000000000000002</c:v>
                </c:pt>
                <c:pt idx="2">
                  <c:v>2.2999999999999998</c:v>
                </c:pt>
                <c:pt idx="3">
                  <c:v>2.2999999999999998</c:v>
                </c:pt>
                <c:pt idx="4">
                  <c:v>2.5</c:v>
                </c:pt>
                <c:pt idx="5">
                  <c:v>2.5</c:v>
                </c:pt>
                <c:pt idx="6">
                  <c:v>2.6</c:v>
                </c:pt>
                <c:pt idx="7">
                  <c:v>2.6</c:v>
                </c:pt>
                <c:pt idx="8">
                  <c:v>2.7</c:v>
                </c:pt>
                <c:pt idx="9">
                  <c:v>2.7</c:v>
                </c:pt>
                <c:pt idx="10">
                  <c:v>2.7</c:v>
                </c:pt>
              </c:numCache>
            </c:numRef>
          </c:val>
        </c:ser>
        <c:marker val="1"/>
        <c:axId val="137784704"/>
        <c:axId val="137790592"/>
      </c:lineChart>
      <c:catAx>
        <c:axId val="137784704"/>
        <c:scaling>
          <c:orientation val="minMax"/>
        </c:scaling>
        <c:axPos val="b"/>
        <c:majorTickMark val="none"/>
        <c:tickLblPos val="nextTo"/>
        <c:crossAx val="137790592"/>
        <c:crosses val="autoZero"/>
        <c:auto val="1"/>
        <c:lblAlgn val="ctr"/>
        <c:lblOffset val="100"/>
      </c:catAx>
      <c:valAx>
        <c:axId val="137790592"/>
        <c:scaling>
          <c:orientation val="minMax"/>
          <c:max val="4"/>
          <c:min val="0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%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1871345029239766"/>
              <c:y val="0.13601686674411601"/>
            </c:manualLayout>
          </c:layout>
        </c:title>
        <c:numFmt formatCode="#,##0;[Red]\-#,##0" sourceLinked="0"/>
        <c:majorTickMark val="none"/>
        <c:tickLblPos val="nextTo"/>
        <c:crossAx val="137784704"/>
        <c:crosses val="autoZero"/>
        <c:crossBetween val="between"/>
        <c:majorUnit val="1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</c:chart>
  <c:spPr>
    <a:noFill/>
    <a:ln>
      <a:noFill/>
    </a:ln>
  </c:spPr>
  <c:txPr>
    <a:bodyPr/>
    <a:lstStyle/>
    <a:p>
      <a:pPr>
        <a:defRPr sz="900"/>
      </a:pPr>
      <a:endParaRPr lang="zh-CN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1">
                <a:latin typeface="微软雅黑" pitchFamily="34" charset="-122"/>
                <a:ea typeface="微软雅黑" pitchFamily="34" charset="-122"/>
              </a:defRPr>
            </a:pPr>
            <a:r>
              <a:rPr lang="zh-CN" altLang="en-US" sz="1200" b="1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 b="1">
                <a:latin typeface="微软雅黑" pitchFamily="34" charset="-122"/>
                <a:ea typeface="微软雅黑" pitchFamily="34" charset="-122"/>
              </a:rPr>
              <a:t>3</a:t>
            </a:r>
            <a:r>
              <a:rPr lang="en-US" altLang="zh-CN" sz="1200" b="1" baseline="0">
                <a:latin typeface="微软雅黑" pitchFamily="34" charset="-122"/>
                <a:ea typeface="微软雅黑" pitchFamily="34" charset="-122"/>
              </a:rPr>
              <a:t>  2018</a:t>
            </a:r>
            <a:r>
              <a:rPr lang="zh-CN" altLang="en-US" sz="1200" b="1" baseline="0">
                <a:latin typeface="微软雅黑" pitchFamily="34" charset="-122"/>
                <a:ea typeface="微软雅黑" pitchFamily="34" charset="-122"/>
              </a:rPr>
              <a:t>年全部工业增加值增长速度</a:t>
            </a:r>
            <a:endParaRPr lang="zh-CN" altLang="en-US" sz="1200" b="1">
              <a:latin typeface="微软雅黑" pitchFamily="34" charset="-122"/>
              <a:ea typeface="微软雅黑" pitchFamily="34" charset="-122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27209313325857876"/>
          <c:y val="0.17997517556030232"/>
          <c:w val="0.82489959839358062"/>
          <c:h val="0.55574104283629322"/>
        </c:manualLayout>
      </c:layout>
      <c:lineChart>
        <c:grouping val="standard"/>
        <c:ser>
          <c:idx val="1"/>
          <c:order val="0"/>
          <c:tx>
            <c:v>月度累计同比（%）</c:v>
          </c:tx>
          <c:spPr>
            <a:ln w="25400">
              <a:solidFill>
                <a:srgbClr val="FFC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C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数据表!$B$35:$B$45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数据表!$L$35:$L$45</c:f>
              <c:numCache>
                <c:formatCode>General</c:formatCode>
                <c:ptCount val="11"/>
                <c:pt idx="0">
                  <c:v>19.399999999999999</c:v>
                </c:pt>
                <c:pt idx="1">
                  <c:v>14.1</c:v>
                </c:pt>
                <c:pt idx="2">
                  <c:v>17.600000000000001</c:v>
                </c:pt>
                <c:pt idx="3">
                  <c:v>20.2</c:v>
                </c:pt>
                <c:pt idx="4">
                  <c:v>20.5</c:v>
                </c:pt>
                <c:pt idx="5">
                  <c:v>23.4</c:v>
                </c:pt>
                <c:pt idx="6">
                  <c:v>24.5</c:v>
                </c:pt>
                <c:pt idx="7">
                  <c:v>24.3</c:v>
                </c:pt>
                <c:pt idx="8">
                  <c:v>25.9</c:v>
                </c:pt>
                <c:pt idx="9">
                  <c:v>24.2</c:v>
                </c:pt>
                <c:pt idx="10">
                  <c:v>21.7</c:v>
                </c:pt>
              </c:numCache>
            </c:numRef>
          </c:val>
        </c:ser>
        <c:marker val="1"/>
        <c:axId val="137807744"/>
        <c:axId val="137809920"/>
      </c:lineChart>
      <c:catAx>
        <c:axId val="137807744"/>
        <c:scaling>
          <c:orientation val="minMax"/>
        </c:scaling>
        <c:axPos val="b"/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37809920"/>
        <c:crosses val="autoZero"/>
        <c:auto val="1"/>
        <c:lblAlgn val="ctr"/>
        <c:lblOffset val="100"/>
        <c:tickLblSkip val="1"/>
        <c:tickMarkSkip val="1"/>
      </c:catAx>
      <c:valAx>
        <c:axId val="137809920"/>
        <c:scaling>
          <c:orientation val="minMax"/>
          <c:min val="0"/>
        </c:scaling>
        <c:axPos val="l"/>
        <c:numFmt formatCode="#,##0;[Red]\-#,##0" sourceLinked="0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37807744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zh-CN"/>
          </a:p>
        </c:txPr>
      </c:dTable>
      <c:spPr>
        <a:noFill/>
        <a:ln w="25400">
          <a:noFill/>
        </a:ln>
      </c:spPr>
    </c:plotArea>
    <c:plotVisOnly val="1"/>
    <c:dispBlanksAs val="gap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400">
                <a:latin typeface="微软雅黑" pitchFamily="34" charset="-122"/>
                <a:ea typeface="微软雅黑" pitchFamily="34" charset="-122"/>
              </a:defRPr>
            </a:pP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>
                <a:latin typeface="微软雅黑" pitchFamily="34" charset="-122"/>
                <a:ea typeface="微软雅黑" pitchFamily="34" charset="-122"/>
              </a:rPr>
              <a:t>4</a:t>
            </a:r>
            <a:r>
              <a:rPr lang="en-US" altLang="zh-CN" sz="1200" baseline="0">
                <a:latin typeface="微软雅黑" pitchFamily="34" charset="-122"/>
                <a:ea typeface="微软雅黑" pitchFamily="34" charset="-122"/>
              </a:rPr>
              <a:t>  2018</a:t>
            </a:r>
            <a:r>
              <a:rPr lang="zh-CN" altLang="en-US" sz="1200" baseline="0">
                <a:latin typeface="微软雅黑" pitchFamily="34" charset="-122"/>
                <a:ea typeface="微软雅黑" pitchFamily="34" charset="-122"/>
              </a:rPr>
              <a:t>年固定资产投资增长速度</a:t>
            </a:r>
            <a:endParaRPr lang="zh-CN" altLang="en-US" sz="1200">
              <a:latin typeface="微软雅黑" pitchFamily="34" charset="-122"/>
              <a:ea typeface="微软雅黑" pitchFamily="34" charset="-122"/>
            </a:endParaRPr>
          </a:p>
        </c:rich>
      </c:tx>
      <c:layout>
        <c:manualLayout>
          <c:xMode val="edge"/>
          <c:yMode val="edge"/>
          <c:x val="0.22706893297174141"/>
          <c:y val="0"/>
        </c:manualLayout>
      </c:layout>
    </c:title>
    <c:plotArea>
      <c:layout/>
      <c:lineChart>
        <c:grouping val="standard"/>
        <c:ser>
          <c:idx val="0"/>
          <c:order val="0"/>
          <c:tx>
            <c:v>州属月度累计同比</c:v>
          </c:tx>
          <c:spPr>
            <a:ln w="25400"/>
          </c:spPr>
          <c:cat>
            <c:strRef>
              <c:f>数据表!$B$70:$B$79</c:f>
              <c:strCache>
                <c:ptCount val="10"/>
                <c:pt idx="0">
                  <c:v>1-3月</c:v>
                </c:pt>
                <c:pt idx="1">
                  <c:v>1-4月</c:v>
                </c:pt>
                <c:pt idx="2">
                  <c:v>1-5月</c:v>
                </c:pt>
                <c:pt idx="3">
                  <c:v>1-6月</c:v>
                </c:pt>
                <c:pt idx="4">
                  <c:v>1-7月</c:v>
                </c:pt>
                <c:pt idx="5">
                  <c:v>1-8月</c:v>
                </c:pt>
                <c:pt idx="6">
                  <c:v>1-9月</c:v>
                </c:pt>
                <c:pt idx="7">
                  <c:v>1-10月</c:v>
                </c:pt>
                <c:pt idx="8">
                  <c:v>1-11月</c:v>
                </c:pt>
                <c:pt idx="9">
                  <c:v>1-12月</c:v>
                </c:pt>
              </c:strCache>
            </c:strRef>
          </c:cat>
          <c:val>
            <c:numRef>
              <c:f>数据表!$P$70:$P$79</c:f>
              <c:numCache>
                <c:formatCode>General</c:formatCode>
                <c:ptCount val="10"/>
                <c:pt idx="0">
                  <c:v>9.7000000000000011</c:v>
                </c:pt>
                <c:pt idx="1">
                  <c:v>-2.6</c:v>
                </c:pt>
                <c:pt idx="2">
                  <c:v>10</c:v>
                </c:pt>
                <c:pt idx="3">
                  <c:v>35.800000000000004</c:v>
                </c:pt>
                <c:pt idx="4">
                  <c:v>34.300000000000004</c:v>
                </c:pt>
                <c:pt idx="5">
                  <c:v>42.7</c:v>
                </c:pt>
                <c:pt idx="6">
                  <c:v>48.5</c:v>
                </c:pt>
                <c:pt idx="7">
                  <c:v>39.4</c:v>
                </c:pt>
                <c:pt idx="8">
                  <c:v>29</c:v>
                </c:pt>
                <c:pt idx="9">
                  <c:v>26.3</c:v>
                </c:pt>
              </c:numCache>
            </c:numRef>
          </c:val>
        </c:ser>
        <c:ser>
          <c:idx val="1"/>
          <c:order val="1"/>
          <c:tx>
            <c:v>全社会月度累计同比</c:v>
          </c:tx>
          <c:spPr>
            <a:ln w="25400"/>
          </c:spPr>
          <c:cat>
            <c:strRef>
              <c:f>数据表!$B$70:$B$79</c:f>
              <c:strCache>
                <c:ptCount val="10"/>
                <c:pt idx="0">
                  <c:v>1-3月</c:v>
                </c:pt>
                <c:pt idx="1">
                  <c:v>1-4月</c:v>
                </c:pt>
                <c:pt idx="2">
                  <c:v>1-5月</c:v>
                </c:pt>
                <c:pt idx="3">
                  <c:v>1-6月</c:v>
                </c:pt>
                <c:pt idx="4">
                  <c:v>1-7月</c:v>
                </c:pt>
                <c:pt idx="5">
                  <c:v>1-8月</c:v>
                </c:pt>
                <c:pt idx="6">
                  <c:v>1-9月</c:v>
                </c:pt>
                <c:pt idx="7">
                  <c:v>1-10月</c:v>
                </c:pt>
                <c:pt idx="8">
                  <c:v>1-11月</c:v>
                </c:pt>
                <c:pt idx="9">
                  <c:v>1-12月</c:v>
                </c:pt>
              </c:strCache>
            </c:strRef>
          </c:cat>
          <c:val>
            <c:numRef>
              <c:f>数据表!$Q$70:$Q$79</c:f>
              <c:numCache>
                <c:formatCode>General</c:formatCode>
                <c:ptCount val="10"/>
                <c:pt idx="0">
                  <c:v>28.1</c:v>
                </c:pt>
                <c:pt idx="1">
                  <c:v>-0.4</c:v>
                </c:pt>
                <c:pt idx="2">
                  <c:v>10.3</c:v>
                </c:pt>
                <c:pt idx="3">
                  <c:v>16.8</c:v>
                </c:pt>
                <c:pt idx="4">
                  <c:v>21.7</c:v>
                </c:pt>
                <c:pt idx="5">
                  <c:v>28.4</c:v>
                </c:pt>
                <c:pt idx="6">
                  <c:v>39.800000000000004</c:v>
                </c:pt>
                <c:pt idx="7">
                  <c:v>40.200000000000003</c:v>
                </c:pt>
                <c:pt idx="8">
                  <c:v>30.3</c:v>
                </c:pt>
                <c:pt idx="9">
                  <c:v>24</c:v>
                </c:pt>
              </c:numCache>
            </c:numRef>
          </c:val>
        </c:ser>
        <c:marker val="1"/>
        <c:axId val="138028544"/>
        <c:axId val="138030080"/>
      </c:lineChart>
      <c:catAx>
        <c:axId val="13802854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38030080"/>
        <c:crosses val="autoZero"/>
        <c:auto val="1"/>
        <c:lblAlgn val="ctr"/>
        <c:lblOffset val="100"/>
      </c:catAx>
      <c:valAx>
        <c:axId val="138030080"/>
        <c:scaling>
          <c:orientation val="minMax"/>
          <c:max val="150"/>
        </c:scaling>
        <c:axPos val="l"/>
        <c:title>
          <c:tx>
            <c:rich>
              <a:bodyPr rot="0" vert="wordArtVertRtl"/>
              <a:lstStyle/>
              <a:p>
                <a:pPr>
                  <a:defRPr sz="900"/>
                </a:pPr>
                <a:r>
                  <a:rPr lang="en-US" altLang="zh-CN" sz="900"/>
                  <a:t>%</a:t>
                </a:r>
                <a:endParaRPr lang="zh-CN" altLang="en-US" sz="900"/>
              </a:p>
            </c:rich>
          </c:tx>
          <c:layout>
            <c:manualLayout>
              <c:xMode val="edge"/>
              <c:yMode val="edge"/>
              <c:x val="0.26685315401711379"/>
              <c:y val="0.10754964013431066"/>
            </c:manualLayout>
          </c:layout>
        </c:title>
        <c:numFmt formatCode="#,##0;[Red]\-#,##0" sourceLinked="0"/>
        <c:maj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138028544"/>
        <c:crosses val="autoZero"/>
        <c:crossBetween val="between"/>
        <c:majorUnit val="30"/>
        <c:minorUnit val="5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zh-CN"/>
          </a:p>
        </c:txPr>
      </c:dTable>
      <c:spPr>
        <a:noFill/>
        <a:ln>
          <a:noFill/>
        </a:ln>
      </c:spPr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>
                <a:latin typeface="微软雅黑" pitchFamily="34" charset="-122"/>
                <a:ea typeface="微软雅黑" pitchFamily="34" charset="-122"/>
              </a:defRPr>
            </a:pP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>
                <a:latin typeface="微软雅黑" pitchFamily="34" charset="-122"/>
                <a:ea typeface="微软雅黑" pitchFamily="34" charset="-122"/>
              </a:rPr>
              <a:t>5  2018</a:t>
            </a: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年社会消费品零售总额及增速</a:t>
            </a:r>
          </a:p>
        </c:rich>
      </c:tx>
    </c:title>
    <c:plotArea>
      <c:layout>
        <c:manualLayout>
          <c:layoutTarget val="inner"/>
          <c:xMode val="edge"/>
          <c:yMode val="edge"/>
          <c:x val="0.31046931407942358"/>
          <c:y val="0.2103060540855817"/>
          <c:w val="0.66527299472181367"/>
          <c:h val="0.49370567417811512"/>
        </c:manualLayout>
      </c:layout>
      <c:barChart>
        <c:barDir val="col"/>
        <c:grouping val="clustered"/>
        <c:ser>
          <c:idx val="0"/>
          <c:order val="0"/>
          <c:tx>
            <c:strRef>
              <c:f>社会消费品图!$C$3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社会消费品图!$B$4:$B$7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社会消费品图!$C$4:$C$7</c:f>
              <c:numCache>
                <c:formatCode>General</c:formatCode>
                <c:ptCount val="4"/>
                <c:pt idx="0">
                  <c:v>7.09</c:v>
                </c:pt>
                <c:pt idx="1">
                  <c:v>14.57</c:v>
                </c:pt>
                <c:pt idx="2">
                  <c:v>23.19</c:v>
                </c:pt>
                <c:pt idx="3">
                  <c:v>32.309999999999995</c:v>
                </c:pt>
              </c:numCache>
            </c:numRef>
          </c:val>
        </c:ser>
        <c:axId val="138056448"/>
        <c:axId val="138058368"/>
      </c:barChart>
      <c:lineChart>
        <c:grouping val="standard"/>
        <c:ser>
          <c:idx val="1"/>
          <c:order val="1"/>
          <c:tx>
            <c:strRef>
              <c:f>社会消费品图!$D$3</c:f>
              <c:strCache>
                <c:ptCount val="1"/>
                <c:pt idx="0">
                  <c:v>比上年增长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pPr>
              <a:solidFill>
                <a:srgbClr val="FFC000"/>
              </a:solidFill>
            </c:spPr>
          </c:marker>
          <c:cat>
            <c:strRef>
              <c:f>社会消费品图!$B$4:$B$7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社会消费品图!$D$4:$D$7</c:f>
              <c:numCache>
                <c:formatCode>General</c:formatCode>
                <c:ptCount val="4"/>
                <c:pt idx="0">
                  <c:v>9.3000000000000007</c:v>
                </c:pt>
                <c:pt idx="1">
                  <c:v>8.2000000000000011</c:v>
                </c:pt>
                <c:pt idx="2">
                  <c:v>8.1</c:v>
                </c:pt>
                <c:pt idx="3">
                  <c:v>6.8</c:v>
                </c:pt>
              </c:numCache>
            </c:numRef>
          </c:val>
        </c:ser>
        <c:marker val="1"/>
        <c:axId val="138062080"/>
        <c:axId val="138060544"/>
      </c:lineChart>
      <c:catAx>
        <c:axId val="138056448"/>
        <c:scaling>
          <c:orientation val="minMax"/>
        </c:scaling>
        <c:axPos val="b"/>
        <c:majorTickMark val="none"/>
        <c:tickLblPos val="nextTo"/>
        <c:crossAx val="138058368"/>
        <c:crosses val="autoZero"/>
        <c:auto val="1"/>
        <c:lblAlgn val="ctr"/>
        <c:lblOffset val="100"/>
      </c:catAx>
      <c:valAx>
        <c:axId val="138058368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zh-CN" altLang="en-US" sz="900" b="0"/>
                  <a:t>亿元</a:t>
                </a:r>
              </a:p>
            </c:rich>
          </c:tx>
          <c:layout>
            <c:manualLayout>
              <c:xMode val="edge"/>
              <c:yMode val="edge"/>
              <c:x val="0.28684271866738681"/>
              <c:y val="0.12834472267543134"/>
            </c:manualLayout>
          </c:layout>
        </c:title>
        <c:numFmt formatCode="General" sourceLinked="1"/>
        <c:majorTickMark val="in"/>
        <c:tickLblPos val="nextTo"/>
        <c:crossAx val="138056448"/>
        <c:crosses val="autoZero"/>
        <c:crossBetween val="between"/>
      </c:valAx>
      <c:valAx>
        <c:axId val="138060544"/>
        <c:scaling>
          <c:orientation val="minMax"/>
        </c:scaling>
        <c:axPos val="r"/>
        <c:numFmt formatCode="General" sourceLinked="1"/>
        <c:majorTickMark val="in"/>
        <c:tickLblPos val="nextTo"/>
        <c:crossAx val="138062080"/>
        <c:crosses val="max"/>
        <c:crossBetween val="between"/>
      </c:valAx>
      <c:catAx>
        <c:axId val="138062080"/>
        <c:scaling>
          <c:orientation val="minMax"/>
        </c:scaling>
        <c:delete val="1"/>
        <c:axPos val="b"/>
        <c:tickLblPos val="none"/>
        <c:crossAx val="138060544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 sz="1200">
                <a:latin typeface="微软雅黑" pitchFamily="34" charset="-122"/>
                <a:ea typeface="微软雅黑" pitchFamily="34" charset="-122"/>
              </a:defRPr>
            </a:pPr>
            <a:r>
              <a:rPr lang="zh-CN" sz="1200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>
                <a:latin typeface="微软雅黑" pitchFamily="34" charset="-122"/>
                <a:ea typeface="微软雅黑" pitchFamily="34" charset="-122"/>
              </a:rPr>
              <a:t>6  2018</a:t>
            </a: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年城镇常住居民人均可支配收入及增速</a:t>
            </a:r>
            <a:endParaRPr lang="zh-CN" sz="1200">
              <a:latin typeface="微软雅黑" pitchFamily="34" charset="-122"/>
              <a:ea typeface="微软雅黑" pitchFamily="34" charset="-122"/>
            </a:endParaRPr>
          </a:p>
        </c:rich>
      </c:tx>
      <c:layout>
        <c:manualLayout>
          <c:xMode val="edge"/>
          <c:yMode val="edge"/>
          <c:x val="0.27128929668010876"/>
          <c:y val="0"/>
        </c:manualLayout>
      </c:layout>
    </c:title>
    <c:plotArea>
      <c:layout>
        <c:manualLayout>
          <c:layoutTarget val="inner"/>
          <c:xMode val="edge"/>
          <c:yMode val="edge"/>
          <c:x val="0.36805388501323166"/>
          <c:y val="0.21747135049070501"/>
          <c:w val="0.58163140059741769"/>
          <c:h val="0.5194739729326503"/>
        </c:manualLayout>
      </c:layout>
      <c:barChart>
        <c:barDir val="col"/>
        <c:grouping val="clustered"/>
        <c:ser>
          <c:idx val="0"/>
          <c:order val="0"/>
          <c:tx>
            <c:strRef>
              <c:f>城乡收入图!$C$2</c:f>
              <c:strCache>
                <c:ptCount val="1"/>
                <c:pt idx="0">
                  <c:v>城镇居民人均可支配收入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城乡收入图!$B$3:$B$6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城乡收入图!$C$3:$C$6</c:f>
              <c:numCache>
                <c:formatCode>General</c:formatCode>
                <c:ptCount val="4"/>
                <c:pt idx="0">
                  <c:v>6622</c:v>
                </c:pt>
                <c:pt idx="1">
                  <c:v>13629</c:v>
                </c:pt>
                <c:pt idx="2">
                  <c:v>21453</c:v>
                </c:pt>
                <c:pt idx="3">
                  <c:v>30803</c:v>
                </c:pt>
              </c:numCache>
            </c:numRef>
          </c:val>
        </c:ser>
        <c:axId val="138109696"/>
        <c:axId val="138111616"/>
      </c:barChart>
      <c:lineChart>
        <c:grouping val="standard"/>
        <c:ser>
          <c:idx val="1"/>
          <c:order val="1"/>
          <c:tx>
            <c:strRef>
              <c:f>城乡收入图!$D$2</c:f>
              <c:strCache>
                <c:ptCount val="1"/>
                <c:pt idx="0">
                  <c:v>比上年增长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</c:spPr>
          </c:marker>
          <c:cat>
            <c:strRef>
              <c:f>城乡收入图!$B$3:$B$6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城乡收入图!$D$3:$D$6</c:f>
              <c:numCache>
                <c:formatCode>General</c:formatCode>
                <c:ptCount val="4"/>
                <c:pt idx="0">
                  <c:v>9.2000000000000011</c:v>
                </c:pt>
                <c:pt idx="1">
                  <c:v>5.3</c:v>
                </c:pt>
                <c:pt idx="2">
                  <c:v>6.6</c:v>
                </c:pt>
                <c:pt idx="3">
                  <c:v>7.9</c:v>
                </c:pt>
              </c:numCache>
            </c:numRef>
          </c:val>
        </c:ser>
        <c:marker val="1"/>
        <c:axId val="138139904"/>
        <c:axId val="138138368"/>
      </c:lineChart>
      <c:catAx>
        <c:axId val="138109696"/>
        <c:scaling>
          <c:orientation val="minMax"/>
        </c:scaling>
        <c:axPos val="b"/>
        <c:majorTickMark val="in"/>
        <c:minorTickMark val="in"/>
        <c:tickLblPos val="nextTo"/>
        <c:crossAx val="138111616"/>
        <c:crosses val="autoZero"/>
        <c:auto val="1"/>
        <c:lblAlgn val="ctr"/>
        <c:lblOffset val="100"/>
      </c:catAx>
      <c:valAx>
        <c:axId val="138111616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zh-CN" sz="900" b="0"/>
                  <a:t>元</a:t>
                </a:r>
              </a:p>
            </c:rich>
          </c:tx>
          <c:layout>
            <c:manualLayout>
              <c:xMode val="edge"/>
              <c:yMode val="edge"/>
              <c:x val="0.34929167953115775"/>
              <c:y val="0.12749928634298432"/>
            </c:manualLayout>
          </c:layout>
        </c:title>
        <c:numFmt formatCode="General" sourceLinked="1"/>
        <c:majorTickMark val="in"/>
        <c:tickLblPos val="nextTo"/>
        <c:crossAx val="138109696"/>
        <c:crosses val="autoZero"/>
        <c:crossBetween val="between"/>
        <c:majorUnit val="5000"/>
      </c:valAx>
      <c:valAx>
        <c:axId val="138138368"/>
        <c:scaling>
          <c:orientation val="minMax"/>
        </c:scaling>
        <c:axPos val="r"/>
        <c:numFmt formatCode="General" sourceLinked="1"/>
        <c:majorTickMark val="in"/>
        <c:tickLblPos val="nextTo"/>
        <c:crossAx val="138139904"/>
        <c:crosses val="max"/>
        <c:crossBetween val="between"/>
      </c:valAx>
      <c:catAx>
        <c:axId val="138139904"/>
        <c:scaling>
          <c:orientation val="minMax"/>
        </c:scaling>
        <c:delete val="1"/>
        <c:axPos val="b"/>
        <c:tickLblPos val="none"/>
        <c:crossAx val="138138368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图</a:t>
            </a:r>
            <a:r>
              <a:rPr lang="en-US" altLang="zh-CN" sz="1200">
                <a:latin typeface="微软雅黑" pitchFamily="34" charset="-122"/>
                <a:ea typeface="微软雅黑" pitchFamily="34" charset="-122"/>
              </a:rPr>
              <a:t>7  2018</a:t>
            </a:r>
            <a:r>
              <a:rPr lang="zh-CN" altLang="en-US" sz="1200">
                <a:latin typeface="微软雅黑" pitchFamily="34" charset="-122"/>
                <a:ea typeface="微软雅黑" pitchFamily="34" charset="-122"/>
              </a:rPr>
              <a:t>年农村常住居民人均可支配收入及增速</a:t>
            </a:r>
          </a:p>
        </c:rich>
      </c:tx>
      <c:layout>
        <c:manualLayout>
          <c:xMode val="edge"/>
          <c:yMode val="edge"/>
          <c:x val="0.20960055869496461"/>
          <c:y val="0.10282776349614396"/>
        </c:manualLayout>
      </c:layout>
    </c:title>
    <c:plotArea>
      <c:layout>
        <c:manualLayout>
          <c:layoutTarget val="inner"/>
          <c:xMode val="edge"/>
          <c:yMode val="edge"/>
          <c:x val="0.24787606196901538"/>
          <c:y val="0.29627013338951597"/>
          <c:w val="0.6851358572682188"/>
          <c:h val="0.49350333714761097"/>
        </c:manualLayout>
      </c:layout>
      <c:barChart>
        <c:barDir val="col"/>
        <c:grouping val="clustered"/>
        <c:ser>
          <c:idx val="0"/>
          <c:order val="0"/>
          <c:tx>
            <c:strRef>
              <c:f>城乡收入图!$C$23</c:f>
              <c:strCache>
                <c:ptCount val="1"/>
                <c:pt idx="0">
                  <c:v>农牧民人均纯收入</c:v>
                </c:pt>
              </c:strCache>
            </c:strRef>
          </c:tx>
          <c:spPr>
            <a:solidFill>
              <a:srgbClr val="92D050"/>
            </a:solidFill>
          </c:spPr>
          <c:cat>
            <c:strRef>
              <c:f>城乡收入图!$B$24:$B$27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城乡收入图!$C$24:$C$27</c:f>
              <c:numCache>
                <c:formatCode>General</c:formatCode>
                <c:ptCount val="4"/>
                <c:pt idx="0">
                  <c:v>2467</c:v>
                </c:pt>
                <c:pt idx="1">
                  <c:v>4064</c:v>
                </c:pt>
                <c:pt idx="2">
                  <c:v>8010</c:v>
                </c:pt>
                <c:pt idx="3">
                  <c:v>11404</c:v>
                </c:pt>
              </c:numCache>
            </c:numRef>
          </c:val>
        </c:ser>
        <c:axId val="138245248"/>
        <c:axId val="138246784"/>
      </c:barChart>
      <c:lineChart>
        <c:grouping val="standard"/>
        <c:ser>
          <c:idx val="1"/>
          <c:order val="1"/>
          <c:tx>
            <c:strRef>
              <c:f>城乡收入图!$D$23</c:f>
              <c:strCache>
                <c:ptCount val="1"/>
                <c:pt idx="0">
                  <c:v>比上年增长</c:v>
                </c:pt>
              </c:strCache>
            </c:strRef>
          </c:tx>
          <c:cat>
            <c:strRef>
              <c:f>城乡收入图!$B$24:$B$27</c:f>
              <c:strCache>
                <c:ptCount val="4"/>
                <c:pt idx="0">
                  <c:v>Ⅰ季度</c:v>
                </c:pt>
                <c:pt idx="1">
                  <c:v>Ⅰ-Ⅱ季度</c:v>
                </c:pt>
                <c:pt idx="2">
                  <c:v>Ⅰ-Ⅲ季度</c:v>
                </c:pt>
                <c:pt idx="3">
                  <c:v>Ⅰ-Ⅳ季度</c:v>
                </c:pt>
              </c:strCache>
            </c:strRef>
          </c:cat>
          <c:val>
            <c:numRef>
              <c:f>城乡收入图!$D$24:$D$27</c:f>
              <c:numCache>
                <c:formatCode>General</c:formatCode>
                <c:ptCount val="4"/>
                <c:pt idx="0">
                  <c:v>10.3</c:v>
                </c:pt>
                <c:pt idx="1">
                  <c:v>9.3000000000000007</c:v>
                </c:pt>
                <c:pt idx="2">
                  <c:v>9.4</c:v>
                </c:pt>
                <c:pt idx="3">
                  <c:v>9.4</c:v>
                </c:pt>
              </c:numCache>
            </c:numRef>
          </c:val>
        </c:ser>
        <c:marker val="1"/>
        <c:axId val="138258688"/>
        <c:axId val="138257152"/>
      </c:lineChart>
      <c:catAx>
        <c:axId val="138245248"/>
        <c:scaling>
          <c:orientation val="minMax"/>
        </c:scaling>
        <c:axPos val="b"/>
        <c:majorTickMark val="none"/>
        <c:tickLblPos val="nextTo"/>
        <c:crossAx val="138246784"/>
        <c:crosses val="autoZero"/>
        <c:auto val="1"/>
        <c:lblAlgn val="ctr"/>
        <c:lblOffset val="100"/>
      </c:catAx>
      <c:valAx>
        <c:axId val="138246784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zh-CN" altLang="en-US" sz="900" b="0"/>
                  <a:t>元</a:t>
                </a:r>
              </a:p>
            </c:rich>
          </c:tx>
          <c:layout>
            <c:manualLayout>
              <c:xMode val="edge"/>
              <c:yMode val="edge"/>
              <c:x val="0.24874558929472101"/>
              <c:y val="0.22131638894970621"/>
            </c:manualLayout>
          </c:layout>
        </c:title>
        <c:numFmt formatCode="General" sourceLinked="1"/>
        <c:majorTickMark val="in"/>
        <c:tickLblPos val="nextTo"/>
        <c:crossAx val="138245248"/>
        <c:crosses val="autoZero"/>
        <c:crossBetween val="between"/>
      </c:valAx>
      <c:valAx>
        <c:axId val="138257152"/>
        <c:scaling>
          <c:orientation val="minMax"/>
          <c:max val="11"/>
          <c:min val="0"/>
        </c:scaling>
        <c:axPos val="r"/>
        <c:numFmt formatCode="General" sourceLinked="1"/>
        <c:majorTickMark val="in"/>
        <c:tickLblPos val="nextTo"/>
        <c:crossAx val="138258688"/>
        <c:crosses val="max"/>
        <c:crossBetween val="between"/>
        <c:majorUnit val="1"/>
        <c:minorUnit val="4.0000000000000022E-2"/>
      </c:valAx>
      <c:catAx>
        <c:axId val="138258688"/>
        <c:scaling>
          <c:orientation val="minMax"/>
        </c:scaling>
        <c:delete val="1"/>
        <c:axPos val="b"/>
        <c:tickLblPos val="none"/>
        <c:crossAx val="13825715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spPr>
        <a:noFill/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0.9184</cdr:x>
      <cdr:y>0.10234</cdr:y>
    </cdr:from>
    <cdr:to>
      <cdr:x>0.96588</cdr:x>
      <cdr:y>0.19609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843926" y="273885"/>
          <a:ext cx="250425" cy="25090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altLang="zh-CN" sz="1000">
              <a:solidFill>
                <a:sysClr val="windowText" lastClr="000000"/>
              </a:solidFill>
            </a:rPr>
            <a:t>%</a:t>
          </a:r>
          <a:endParaRPr lang="zh-CN" sz="1000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0.92442</cdr:x>
      <cdr:y>0.13397</cdr:y>
    </cdr:from>
    <cdr:to>
      <cdr:x>0.97559</cdr:x>
      <cdr:y>0.19172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878018" y="424940"/>
          <a:ext cx="270016" cy="1831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altLang="zh-CN" sz="900">
              <a:solidFill>
                <a:sysClr val="windowText" lastClr="000000"/>
              </a:solidFill>
            </a:rPr>
            <a:t>%</a:t>
          </a:r>
          <a:endParaRPr lang="zh-CN" sz="900">
            <a:solidFill>
              <a:sysClr val="windowText" lastClr="00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0.92173</cdr:x>
      <cdr:y>0.13713</cdr:y>
    </cdr:from>
    <cdr:to>
      <cdr:x>0.97144</cdr:x>
      <cdr:y>0.19861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4866198" y="461175"/>
          <a:ext cx="262394" cy="2067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altLang="zh-CN" sz="900">
              <a:solidFill>
                <a:sysClr val="windowText" lastClr="000000"/>
              </a:solidFill>
            </a:rPr>
            <a:t>%</a:t>
          </a:r>
          <a:endParaRPr lang="zh-CN" altLang="en-US" sz="900">
            <a:solidFill>
              <a:sysClr val="windowText" lastClr="00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0.92806</cdr:x>
      <cdr:y>0.19999</cdr:y>
    </cdr:from>
    <cdr:to>
      <cdr:x>0.97181</cdr:x>
      <cdr:y>0.29027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5076945" y="871406"/>
          <a:ext cx="239335" cy="3933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en-US" altLang="zh-CN" sz="900">
              <a:solidFill>
                <a:sysClr val="windowText" lastClr="000000"/>
              </a:solidFill>
            </a:rPr>
            <a:t>%</a:t>
          </a:r>
          <a:endParaRPr lang="zh-CN" altLang="en-US" sz="9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2A075-0856-4BE5-A5AE-BA9ED10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16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2019-03-13T02:44:00Z</cp:lastPrinted>
  <dcterms:created xsi:type="dcterms:W3CDTF">2019-02-22T00:36:00Z</dcterms:created>
  <dcterms:modified xsi:type="dcterms:W3CDTF">2019-03-13T02:57:00Z</dcterms:modified>
</cp:coreProperties>
</file>