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年青海省城镇私营单位就业人员</w:t>
      </w:r>
    </w:p>
    <w:p>
      <w:pPr>
        <w:spacing w:line="640" w:lineRule="exact"/>
        <w:jc w:val="center"/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年平均工资5642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  <w:t>2023年青海省城镇私营单位就业人员年平均工资为56424元，比上年增加5914元，同比增长11.71%，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增速</w:t>
      </w:r>
      <w:r>
        <w:rPr>
          <w:rStyle w:val="9"/>
          <w:rFonts w:hint="eastAsia" w:ascii="仿宋" w:hAnsi="仿宋" w:eastAsia="仿宋" w:cs="宋体"/>
          <w:color w:val="333333"/>
          <w:sz w:val="32"/>
          <w:szCs w:val="32"/>
        </w:rPr>
        <w:t>[</w:t>
      </w:r>
      <w:r>
        <w:rPr>
          <w:rStyle w:val="9"/>
          <w:rFonts w:hint="eastAsia" w:ascii="仿宋" w:hAnsi="仿宋" w:eastAsia="仿宋" w:cs="宋体"/>
          <w:color w:val="333333"/>
          <w:sz w:val="32"/>
          <w:szCs w:val="32"/>
        </w:rPr>
        <w:footnoteReference w:id="0"/>
      </w:r>
      <w:r>
        <w:rPr>
          <w:rStyle w:val="9"/>
          <w:rFonts w:hint="eastAsia" w:ascii="仿宋" w:hAnsi="仿宋" w:eastAsia="仿宋" w:cs="宋体"/>
          <w:color w:val="333333"/>
          <w:sz w:val="32"/>
          <w:szCs w:val="32"/>
        </w:rPr>
        <w:t>]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  <w:t>比2022年提高10.83个百分点，扣除价格因素2023年青海省城镇私营单位就业人员年平均工资实际增长11.25%。</w:t>
      </w:r>
    </w:p>
    <w:p>
      <w:pPr>
        <w:pStyle w:val="13"/>
        <w:ind w:firstLine="481" w:firstLineChars="20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图1 2019-2023年城镇私营单位就业人员年平均工资及增速</w:t>
      </w:r>
    </w:p>
    <w:p>
      <w:pPr>
        <w:pStyle w:val="13"/>
        <w:ind w:firstLine="420" w:firstLineChars="200"/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4820285" cy="2853055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center"/>
      </w:pPr>
    </w:p>
    <w:p>
      <w:pPr>
        <w:ind w:firstLine="642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 w:bidi="ar-SA"/>
        </w:rPr>
        <w:t>分行业门类看，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 w:bidi="ar-SA"/>
        </w:rPr>
        <w:t>私营单位全部18个行业门类中，有8个行业的平均工资高于全省平均水平。其中年平均工资最高的三个行业分别是金融业106482元，采矿业79176元，电力、热力、燃气及水生产和供应业76294元，分别是全省平均水平的1.89倍、1.40倍、1.35倍。年平均工资最低的三个行业分别是教育38183元，农、林、牧、渔业38955元，居民服务、修理和其他服务业44328元，分别是全省平均水平的67.67%、69.04%、78.56%。</w:t>
      </w:r>
    </w:p>
    <w:p>
      <w:pPr>
        <w:pStyle w:val="13"/>
        <w:ind w:firstLine="642" w:firstLineChars="200"/>
        <w:rPr>
          <w:rFonts w:ascii="仿宋" w:hAnsi="仿宋" w:eastAsia="仿宋" w:cs="宋体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2"/>
          <w:szCs w:val="32"/>
          <w:lang w:val="en-US" w:eastAsia="zh-CN" w:bidi="ar-SA"/>
        </w:rPr>
        <w:t>从增长速度看，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全部1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个行业门类中，有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个行业的平均工资增速高于全省平均水平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（详见表1）。</w:t>
      </w:r>
      <w:bookmarkStart w:id="0" w:name="_GoBack"/>
      <w:bookmarkEnd w:id="0"/>
      <w:r>
        <w:rPr>
          <w:rFonts w:hint="eastAsia" w:ascii="仿宋" w:hAnsi="仿宋" w:eastAsia="仿宋" w:cs="宋体"/>
          <w:color w:val="333333"/>
          <w:sz w:val="32"/>
          <w:szCs w:val="32"/>
        </w:rPr>
        <w:t>年平均工资增速最高的三个行业依次为住宿和餐饮业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、教育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、采矿业，增长率分别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23.36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%、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21.98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%和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21.67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%。增速下降</w:t>
      </w:r>
      <w:r>
        <w:rPr>
          <w:rFonts w:hint="eastAsia" w:ascii="仿宋" w:hAnsi="仿宋" w:eastAsia="仿宋" w:cs="宋体"/>
          <w:color w:val="333333"/>
          <w:sz w:val="32"/>
          <w:szCs w:val="32"/>
          <w:lang w:eastAsia="zh-CN"/>
        </w:rPr>
        <w:t>的行业为农、林、牧、渔业，下降</w:t>
      </w:r>
      <w:r>
        <w:rPr>
          <w:rFonts w:hint="eastAsia" w:ascii="仿宋" w:hAnsi="仿宋" w:eastAsia="仿宋" w:cs="宋体"/>
          <w:color w:val="333333"/>
          <w:sz w:val="32"/>
          <w:szCs w:val="32"/>
          <w:lang w:val="en-US" w:eastAsia="zh-CN"/>
        </w:rPr>
        <w:t>3.52%</w:t>
      </w:r>
      <w:r>
        <w:rPr>
          <w:rFonts w:hint="eastAsia" w:ascii="仿宋" w:hAnsi="仿宋" w:eastAsia="仿宋" w:cs="宋体"/>
          <w:color w:val="333333"/>
          <w:sz w:val="32"/>
          <w:szCs w:val="32"/>
        </w:rPr>
        <w:t>。</w:t>
      </w:r>
    </w:p>
    <w:tbl>
      <w:tblPr>
        <w:tblStyle w:val="7"/>
        <w:tblW w:w="841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797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1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  <w:t>年城镇私营单位分行业就业人员年平均工资</w:t>
            </w:r>
          </w:p>
          <w:p>
            <w:pPr>
              <w:widowControl/>
              <w:spacing w:line="440" w:lineRule="exact"/>
              <w:jc w:val="right"/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  <w:szCs w:val="24"/>
                <w:shd w:val="clear" w:color="auto" w:fill="FFFFFF"/>
              </w:rPr>
              <w:t>单位：元，%</w:t>
            </w:r>
          </w:p>
          <w:tbl>
            <w:tblPr>
              <w:tblStyle w:val="7"/>
              <w:tblpPr w:leftFromText="180" w:rightFromText="180" w:vertAnchor="text" w:horzAnchor="page" w:tblpXSpec="center" w:tblpY="445"/>
              <w:tblOverlap w:val="never"/>
              <w:tblW w:w="8749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78"/>
              <w:gridCol w:w="1482"/>
              <w:gridCol w:w="1466"/>
              <w:gridCol w:w="152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行  业</w:t>
                  </w:r>
                </w:p>
              </w:tc>
              <w:tc>
                <w:tcPr>
                  <w:tcW w:w="148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2023</w:t>
                  </w:r>
                  <w:r>
                    <w:rPr>
                      <w:rStyle w:val="14"/>
                      <w:rFonts w:hint="eastAsia" w:asciiTheme="majorEastAsia" w:hAnsiTheme="majorEastAsia" w:eastAsiaTheme="majorEastAsia" w:cstheme="majorEastAsia"/>
                      <w:sz w:val="21"/>
                      <w:szCs w:val="21"/>
                      <w:lang w:val="en-US" w:eastAsia="zh-CN" w:bidi="ar"/>
                    </w:rPr>
                    <w:t>年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2022</w:t>
                  </w:r>
                  <w:r>
                    <w:rPr>
                      <w:rStyle w:val="14"/>
                      <w:rFonts w:hint="eastAsia" w:asciiTheme="majorEastAsia" w:hAnsiTheme="majorEastAsia" w:eastAsiaTheme="majorEastAsia" w:cstheme="majorEastAsia"/>
                      <w:sz w:val="21"/>
                      <w:szCs w:val="21"/>
                      <w:lang w:val="en-US" w:eastAsia="zh-CN" w:bidi="ar"/>
                    </w:rPr>
                    <w:t>年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i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增长率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Style w:val="15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 w:bidi="ar"/>
                    </w:rPr>
                    <w:t>合</w:t>
                  </w:r>
                  <w:r>
                    <w:rPr>
                      <w:rStyle w:val="17"/>
                      <w:rFonts w:hint="eastAsia" w:asciiTheme="minorEastAsia" w:hAnsiTheme="minorEastAsia" w:eastAsiaTheme="minorEastAsia" w:cstheme="minorEastAsia"/>
                      <w:sz w:val="20"/>
                      <w:szCs w:val="20"/>
                      <w:lang w:val="en-US" w:eastAsia="zh-CN" w:bidi="ar"/>
                    </w:rPr>
                    <w:t>计</w:t>
                  </w:r>
                </w:p>
              </w:tc>
              <w:tc>
                <w:tcPr>
                  <w:tcW w:w="1482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56424</w:t>
                  </w:r>
                </w:p>
              </w:tc>
              <w:tc>
                <w:tcPr>
                  <w:tcW w:w="1466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50510</w:t>
                  </w:r>
                </w:p>
              </w:tc>
              <w:tc>
                <w:tcPr>
                  <w:tcW w:w="1523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11.71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（一）农、林、牧、渔业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38955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40377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-3.52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（二）采矿业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79176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65074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21.67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（三）制造业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67651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62725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7.85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（四）电力、燃气及水的生产和供应业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76294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65385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16.68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（五）建筑业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59760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54693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9.26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（六）批发和零售业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55597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48555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14.50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（七）交通运输、仓储和邮政业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62252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57510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8.25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（八）住宿和餐饮业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47494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38500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23.36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（九）信息传输、软件和信息技术服务业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62640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55459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12.95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（十）金融业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106482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102136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4.26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（十一）房地产业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44966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43807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2.65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（十二）租赁和商务服务业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55327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47131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17.39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（十三）科学研究和技术服务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71259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61489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15.89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（十四）水利、环境和公共设施管理业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49169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42826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14.81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（十五）居民服务、修理和其他服务业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44328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43626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1.61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（十六）教育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38183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31303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21.98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（十七）卫生和社会工作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54905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50870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7.93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exact"/>
                <w:jc w:val="center"/>
              </w:trPr>
              <w:tc>
                <w:tcPr>
                  <w:tcW w:w="4278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（十八）文化、体育和娱乐业</w:t>
                  </w:r>
                </w:p>
              </w:tc>
              <w:tc>
                <w:tcPr>
                  <w:tcW w:w="1482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46054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42837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7.51</w:t>
                  </w:r>
                </w:p>
              </w:tc>
            </w:tr>
          </w:tbl>
          <w:p>
            <w:pPr>
              <w:widowControl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spacing w:line="27" w:lineRule="atLeast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ascii="楷体" w:hAnsi="楷体" w:eastAsia="仿宋_GB2312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[1] 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以下如未特殊说明，均为名义增长。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b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附注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指标解释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）单位就业人员：指在本单位工作，并由单位支付劳动报酬的人员。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）工资总额：根据《关于工资总额组成的规定》（详见官网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http://www.stats.gov.cn/xxgk/zcfggz/tjxzfg2020/201708/t20170803_1758101.html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），</w:t>
      </w:r>
      <w:r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工资总额是指本单位在报告期内（季度或年度）直接支付给本单位就业人员的劳动报酬总额。包括计时工资、计件工资、奖金、津贴和补贴、加班加点工资、特殊情况下支付的工资。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工资总额是税前工资，包括单位从个人工资中直接为其代扣或代缴的个人所得税、社会保险基金和住房公积金等个人缴纳部分以及房费、水电费等。不论是计入成本的还是不计入成本的，不论是以货币形式支付的还是以实物形式支付的，均应列入工资总额的计算范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）平均工资：是指在报告期内单位发放工资的人均水平。计算公式为：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1685925" cy="381000"/>
            <wp:effectExtent l="0" t="0" r="9525" b="0"/>
            <wp:docPr id="2" name="图片 1" descr="IMG_25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统计范围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劳动工资统计主要统计法人单位的就业人员和工资情况，个体就业人员、自由职业者等非单位就业人员不在统计范围内。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 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城镇地区私营法人单位（包括统计上认定的视同法人单位的产业活动单位）具体包括：内资企业中的私营有限责任公司、私营股份有限公司、个人独资企业和合伙企业。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调查方法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根据国家统计局制定的《企业一套表统计调查制度》和《劳动工资统计报表制度》，对一套表法人单位采用全面调查的方法，对非一套表法人单位采用抽样调查的方法。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</w:t>
      </w:r>
      <w:r>
        <w:rPr>
          <w:rFonts w:hint="eastAsia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 xml:space="preserve">  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行业分类标准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劳动工资统计的行业分类标准按照《国民经济行业分类》（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GB/T4754-2017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）执行。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</w:t>
      </w:r>
      <w:r>
        <w:rPr>
          <w:rFonts w:hint="eastAsia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.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登记注册划分标准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仿宋_GB2312" w:cs="sans-serif"/>
          <w:i w:val="0"/>
          <w:caps w:val="0"/>
          <w:color w:val="000000"/>
          <w:spacing w:val="0"/>
          <w:sz w:val="30"/>
          <w:szCs w:val="30"/>
        </w:rPr>
      </w:pP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　　劳动工资统计自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2023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年起，按照《关于市场主体统计分类的划分规定》（国统字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[2023]14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号）执行新的登记注册统计类别（详见官网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https://www.stats.gov.cn/sj/tjbz/gjtjbz/202302/t20230213_1902786.html</w:t>
      </w:r>
      <w:r>
        <w:rPr>
          <w:rFonts w:hint="default" w:ascii="楷体" w:hAnsi="楷体" w:eastAsia="仿宋_GB2312" w:cs="楷体"/>
          <w:i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）。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footnotePr>
        <w:numFmt w:val="decimal"/>
      </w:footnotePr>
      <w:pgSz w:w="11906" w:h="16838"/>
      <w:pgMar w:top="1440" w:right="1486" w:bottom="1270" w:left="16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/>
  </w:footnote>
  <w:footnote w:id="0">
    <w:p>
      <w:pPr>
        <w:pStyle w:val="6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79"/>
    <w:rsid w:val="00096380"/>
    <w:rsid w:val="000A56BB"/>
    <w:rsid w:val="00143F8F"/>
    <w:rsid w:val="001D51E1"/>
    <w:rsid w:val="0026059F"/>
    <w:rsid w:val="0028420E"/>
    <w:rsid w:val="002D2CD7"/>
    <w:rsid w:val="0036390A"/>
    <w:rsid w:val="003C47DB"/>
    <w:rsid w:val="00411786"/>
    <w:rsid w:val="005040EB"/>
    <w:rsid w:val="00504349"/>
    <w:rsid w:val="00582CC4"/>
    <w:rsid w:val="00604C13"/>
    <w:rsid w:val="00610166"/>
    <w:rsid w:val="00730E61"/>
    <w:rsid w:val="00801626"/>
    <w:rsid w:val="008469BB"/>
    <w:rsid w:val="008C5E85"/>
    <w:rsid w:val="00A8222A"/>
    <w:rsid w:val="00A8734F"/>
    <w:rsid w:val="00B21655"/>
    <w:rsid w:val="00B23372"/>
    <w:rsid w:val="00BB4EAD"/>
    <w:rsid w:val="00BF1661"/>
    <w:rsid w:val="00C12001"/>
    <w:rsid w:val="00C9433E"/>
    <w:rsid w:val="00CD64E8"/>
    <w:rsid w:val="00D2001D"/>
    <w:rsid w:val="00D217DF"/>
    <w:rsid w:val="00D32EA7"/>
    <w:rsid w:val="00D40579"/>
    <w:rsid w:val="00D53D5E"/>
    <w:rsid w:val="00E06DEA"/>
    <w:rsid w:val="00E21F5A"/>
    <w:rsid w:val="00E748B6"/>
    <w:rsid w:val="00F8706D"/>
    <w:rsid w:val="00FB3953"/>
    <w:rsid w:val="00FD660A"/>
    <w:rsid w:val="137B6765"/>
    <w:rsid w:val="1B7B5D6E"/>
    <w:rsid w:val="3B453593"/>
    <w:rsid w:val="3D1F8529"/>
    <w:rsid w:val="4BD5136A"/>
    <w:rsid w:val="4D1E9268"/>
    <w:rsid w:val="4EF72786"/>
    <w:rsid w:val="4F9FEA47"/>
    <w:rsid w:val="527FD3EC"/>
    <w:rsid w:val="529C0F5E"/>
    <w:rsid w:val="53F3D877"/>
    <w:rsid w:val="56FA9C66"/>
    <w:rsid w:val="57FF2855"/>
    <w:rsid w:val="5DFFE29E"/>
    <w:rsid w:val="5EBD7ED3"/>
    <w:rsid w:val="5F514693"/>
    <w:rsid w:val="5FBF6F3B"/>
    <w:rsid w:val="637CB025"/>
    <w:rsid w:val="675DB46B"/>
    <w:rsid w:val="68DE6A1B"/>
    <w:rsid w:val="6BF76748"/>
    <w:rsid w:val="6FAD9E2B"/>
    <w:rsid w:val="6FE7AE84"/>
    <w:rsid w:val="6FFFB4DC"/>
    <w:rsid w:val="73F9E8EA"/>
    <w:rsid w:val="756FB52F"/>
    <w:rsid w:val="7AFB78F8"/>
    <w:rsid w:val="7BA74298"/>
    <w:rsid w:val="7CBBA7AC"/>
    <w:rsid w:val="7CED8D64"/>
    <w:rsid w:val="7D7DE537"/>
    <w:rsid w:val="7F3B9F9D"/>
    <w:rsid w:val="7F7F7544"/>
    <w:rsid w:val="7F967E1A"/>
    <w:rsid w:val="88FF8D4C"/>
    <w:rsid w:val="95CE26E0"/>
    <w:rsid w:val="95F8A9C3"/>
    <w:rsid w:val="A6DDDD8F"/>
    <w:rsid w:val="B2FDAC7F"/>
    <w:rsid w:val="B7E18429"/>
    <w:rsid w:val="BF7C6587"/>
    <w:rsid w:val="BFBF74F3"/>
    <w:rsid w:val="BFDBB24A"/>
    <w:rsid w:val="BFF21337"/>
    <w:rsid w:val="CEDEA775"/>
    <w:rsid w:val="D75D6AB2"/>
    <w:rsid w:val="DDFDA6E3"/>
    <w:rsid w:val="DE7AD05A"/>
    <w:rsid w:val="DF32AE72"/>
    <w:rsid w:val="DFD4F3E2"/>
    <w:rsid w:val="DFEF9BBC"/>
    <w:rsid w:val="E3AF3C0F"/>
    <w:rsid w:val="E6EDCB7F"/>
    <w:rsid w:val="E7F22CE3"/>
    <w:rsid w:val="E7FBAF56"/>
    <w:rsid w:val="EF3F0B38"/>
    <w:rsid w:val="EFF70058"/>
    <w:rsid w:val="F1616EBC"/>
    <w:rsid w:val="F1A7025D"/>
    <w:rsid w:val="F6FBA895"/>
    <w:rsid w:val="FABE92BD"/>
    <w:rsid w:val="FBE993A2"/>
    <w:rsid w:val="FE3B449A"/>
    <w:rsid w:val="FF3D3B33"/>
    <w:rsid w:val="FF7DAF4E"/>
    <w:rsid w:val="FF9F181F"/>
    <w:rsid w:val="FFBEA447"/>
    <w:rsid w:val="FFDD7225"/>
    <w:rsid w:val="FFEFED12"/>
    <w:rsid w:val="FFF40DCC"/>
    <w:rsid w:val="FFFE65C9"/>
    <w:rsid w:val="FFFF63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14">
    <w:name w:val="font11"/>
    <w:basedOn w:val="8"/>
    <w:qFormat/>
    <w:uiPriority w:val="0"/>
    <w:rPr>
      <w:rFonts w:ascii="方正书宋_GBK" w:hAnsi="方正书宋_GBK" w:eastAsia="方正书宋_GBK" w:cs="方正书宋_GBK"/>
      <w:color w:val="000000"/>
      <w:sz w:val="18"/>
      <w:szCs w:val="18"/>
      <w:u w:val="none"/>
    </w:rPr>
  </w:style>
  <w:style w:type="character" w:customStyle="1" w:styleId="15">
    <w:name w:val="font21"/>
    <w:basedOn w:val="8"/>
    <w:qFormat/>
    <w:uiPriority w:val="0"/>
    <w:rPr>
      <w:rFonts w:hint="eastAsia" w:ascii="方正书宋_GBK" w:hAnsi="方正书宋_GBK" w:eastAsia="方正书宋_GBK" w:cs="方正书宋_GBK"/>
      <w:b/>
      <w:color w:val="000000"/>
      <w:sz w:val="18"/>
      <w:szCs w:val="18"/>
      <w:u w:val="none"/>
    </w:rPr>
  </w:style>
  <w:style w:type="character" w:customStyle="1" w:styleId="16">
    <w:name w:val="font81"/>
    <w:basedOn w:val="8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17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data/home/uos/&#24037;&#20316;/2024&#24180;/&#21171;&#21160;&#24037;&#36164;/&#24180;&#25253;/&#24180;&#25253;&#25968;&#25454;&#21453;&#39304;/&#19968;&#35272;&#34920;/2023&#24180;&#31169;&#33829;&#19968;&#35272;&#34920;-&#22269;&#23478;&#21453;&#39304;&#25968;&#2545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false"/>
  <c:lang val="zh-CN"/>
  <c:roundedCorners val="false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true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 </a:t>
            </a:r>
            <a:endParaRPr altLang="en-US"/>
          </a:p>
        </c:rich>
      </c:tx>
      <c:layout/>
      <c:overlay val="false"/>
      <c:spPr>
        <a:noFill/>
        <a:ln>
          <a:noFill/>
        </a:ln>
        <a:effectLst/>
      </c:spPr>
    </c:title>
    <c:autoTitleDeleted val="false"/>
    <c:plotArea>
      <c:layout/>
      <c:barChart>
        <c:barDir val="col"/>
        <c:grouping val="clustered"/>
        <c:varyColors val="false"/>
        <c:ser>
          <c:idx val="0"/>
          <c:order val="0"/>
          <c:tx>
            <c:strRef>
              <c:f>'[2023年私营一览表-国家反馈数据.xlsx]Sheet2'!$H$7</c:f>
              <c:strCache>
                <c:ptCount val="1"/>
                <c:pt idx="0">
                  <c:v>年平均工资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false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'[2023年私营一览表-国家反馈数据.xlsx]Sheet2'!$G$8:$G$12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'[2023年私营一览表-国家反馈数据.xlsx]Sheet2'!$H$8:$H$12</c:f>
              <c:numCache>
                <c:formatCode>General</c:formatCode>
                <c:ptCount val="5"/>
                <c:pt idx="0">
                  <c:v>39727</c:v>
                </c:pt>
                <c:pt idx="1">
                  <c:v>46309</c:v>
                </c:pt>
                <c:pt idx="2">
                  <c:v>50068</c:v>
                </c:pt>
                <c:pt idx="3">
                  <c:v>50510</c:v>
                </c:pt>
                <c:pt idx="4">
                  <c:v>56424</c:v>
                </c:pt>
              </c:numCache>
            </c:numRef>
          </c:val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gapWidth val="219"/>
        <c:overlap val="-27"/>
        <c:axId val="399748806"/>
        <c:axId val="884002715"/>
      </c:barChart>
      <c:lineChart>
        <c:grouping val="standard"/>
        <c:varyColors val="false"/>
        <c:ser>
          <c:idx val="1"/>
          <c:order val="1"/>
          <c:tx>
            <c:strRef>
              <c:f>'[2023年私营一览表-国家反馈数据.xlsx]Sheet2'!$I$7</c:f>
              <c:strCache>
                <c:ptCount val="1"/>
                <c:pt idx="0">
                  <c:v>增速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squar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0.0104166666666667"/>
                  <c:y val="0.0277777777777778"/>
                </c:manualLayout>
              </c:layout>
              <c:dLblPos val="r"/>
              <c:showLegendKey val="false"/>
              <c:showVal val="true"/>
              <c:showCatName val="false"/>
              <c:showSerName val="false"/>
              <c:showPercent val="false"/>
              <c:showBubbleSize val="false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true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false"/>
            <c:showVal val="true"/>
            <c:showCatName val="false"/>
            <c:showSerName val="false"/>
            <c:showPercent val="false"/>
            <c:showBubbleSize val="false"/>
            <c:showLeaderLines val="false"/>
            <c:extLst>
              <c:ext xmlns:c15="http://schemas.microsoft.com/office/drawing/2012/chart" uri="{CE6537A1-D6FC-4f65-9D91-7224C49458BB}">
                <c15:layout/>
                <c15:showLeaderLines val="true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'[2023年私营一览表-国家反馈数据.xlsx]Sheet2'!$G$8:$G$12</c:f>
              <c:strCache>
                <c:ptCount val="5"/>
                <c:pt idx="0">
                  <c:v>2019年</c:v>
                </c:pt>
                <c:pt idx="1">
                  <c:v>2020年</c:v>
                </c:pt>
                <c:pt idx="2">
                  <c:v>2021年</c:v>
                </c:pt>
                <c:pt idx="3">
                  <c:v>2022年</c:v>
                </c:pt>
                <c:pt idx="4">
                  <c:v>2023年</c:v>
                </c:pt>
              </c:strCache>
            </c:strRef>
          </c:cat>
          <c:val>
            <c:numRef>
              <c:f>'[2023年私营一览表-国家反馈数据.xlsx]Sheet2'!$I$8:$I$12</c:f>
              <c:numCache>
                <c:formatCode>0.00_ </c:formatCode>
                <c:ptCount val="5"/>
                <c:pt idx="0">
                  <c:v>3.32</c:v>
                </c:pt>
                <c:pt idx="1">
                  <c:v>16.57</c:v>
                </c:pt>
                <c:pt idx="2">
                  <c:v>8.12</c:v>
                </c:pt>
                <c:pt idx="3" c:formatCode="General">
                  <c:v>0.88</c:v>
                </c:pt>
                <c:pt idx="4" c:formatCode="General">
                  <c:v>11.71</c:v>
                </c:pt>
              </c:numCache>
            </c:numRef>
          </c:val>
          <c:smooth val="false"/>
        </c:ser>
        <c:dLbls>
          <c:showLegendKey val="false"/>
          <c:showVal val="true"/>
          <c:showCatName val="false"/>
          <c:showSerName val="false"/>
          <c:showPercent val="false"/>
          <c:showBubbleSize val="false"/>
        </c:dLbls>
        <c:marker val="true"/>
        <c:smooth val="false"/>
        <c:axId val="109905847"/>
        <c:axId val="336832862"/>
      </c:lineChart>
      <c:catAx>
        <c:axId val="399748806"/>
        <c:scaling>
          <c:orientation val="minMax"/>
        </c:scaling>
        <c:delete val="false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84002715"/>
        <c:crosses val="autoZero"/>
        <c:auto val="true"/>
        <c:lblAlgn val="ctr"/>
        <c:lblOffset val="100"/>
        <c:noMultiLvlLbl val="false"/>
      </c:catAx>
      <c:valAx>
        <c:axId val="884002715"/>
        <c:scaling>
          <c:orientation val="minMax"/>
        </c:scaling>
        <c:delete val="false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t>元</a:t>
                </a:r>
              </a:p>
            </c:rich>
          </c:tx>
          <c:layout>
            <c:manualLayout>
              <c:xMode val="edge"/>
              <c:yMode val="edge"/>
              <c:x val="0.139027777777779"/>
              <c:y val="0.0763194444444451"/>
            </c:manualLayout>
          </c:layout>
          <c:overlay val="false"/>
          <c:spPr>
            <a:noFill/>
            <a:ln>
              <a:noFill/>
            </a:ln>
            <a:effectLst/>
          </c:spPr>
        </c:title>
        <c:numFmt formatCode="General" sourceLinked="true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9748806"/>
        <c:crosses val="autoZero"/>
        <c:crossBetween val="between"/>
      </c:valAx>
      <c:catAx>
        <c:axId val="109905847"/>
        <c:scaling>
          <c:orientation val="minMax"/>
        </c:scaling>
        <c:delete val="true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6832862"/>
        <c:crosses val="autoZero"/>
        <c:auto val="true"/>
        <c:lblAlgn val="ctr"/>
        <c:lblOffset val="100"/>
        <c:noMultiLvlLbl val="false"/>
      </c:catAx>
      <c:valAx>
        <c:axId val="336832862"/>
        <c:scaling>
          <c:orientation val="minMax"/>
        </c:scaling>
        <c:delete val="false"/>
        <c:axPos val="r"/>
        <c:title>
          <c:tx>
            <c:rich>
              <a:bodyPr rot="0" spcFirstLastPara="0" vertOverflow="ellipsis" vert="horz" wrap="square" anchor="ctr" anchorCtr="true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altLang="zh-CN"/>
                  <a:t>%</a:t>
                </a:r>
                <a:endParaRPr lang="en-US" altLang="zh-CN"/>
              </a:p>
            </c:rich>
          </c:tx>
          <c:layout>
            <c:manualLayout>
              <c:xMode val="edge"/>
              <c:yMode val="edge"/>
              <c:x val="0.82125"/>
              <c:y val="0.0719212962962963"/>
            </c:manualLayout>
          </c:layout>
          <c:overlay val="false"/>
          <c:spPr>
            <a:noFill/>
            <a:ln>
              <a:noFill/>
            </a:ln>
            <a:effectLst/>
          </c:spPr>
        </c:title>
        <c:numFmt formatCode="0.00_ " sourceLinked="true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0" vertOverflow="ellipsis" vert="horz" wrap="square" anchor="ctr" anchorCtr="true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09905847"/>
        <c:crosses val="max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layout/>
      <c:overlay val="false"/>
      <c:spPr>
        <a:noFill/>
        <a:ln>
          <a:noFill/>
        </a:ln>
        <a:effectLst/>
      </c:spPr>
      <c:txPr>
        <a:bodyPr rot="0" spcFirstLastPara="0" vertOverflow="ellipsis" vert="horz" wrap="square" anchor="ctr" anchorCtr="true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true"/>
    <c:dispBlanksAs val="gap"/>
    <c:showDLblsOverMax val="false"/>
  </c:chart>
  <c:spPr>
    <a:noFill/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false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true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4</Pages>
  <Words>367</Words>
  <Characters>2092</Characters>
  <Lines>17</Lines>
  <Paragraphs>4</Paragraphs>
  <TotalTime>0</TotalTime>
  <ScaleCrop>false</ScaleCrop>
  <LinksUpToDate>false</LinksUpToDate>
  <CharactersWithSpaces>2455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2020-05-29T11:06:00Z</dcterms:created>
  <dc:creator>php</dc:creator>
  <cp:lastModifiedBy>uos</cp:lastModifiedBy>
  <cp:lastPrinted>2024-06-06T00:27:00Z</cp:lastPrinted>
  <dcterms:modified xsi:type="dcterms:W3CDTF">2024-06-05T08:36:43Z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