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40" w:lineRule="exact"/>
        <w:ind w:firstLine="800" w:firstLineChars="200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2023年青海省城镇非私营单位就业人员</w:t>
      </w:r>
    </w:p>
    <w:p>
      <w:pPr>
        <w:pStyle w:val="12"/>
        <w:spacing w:line="640" w:lineRule="exact"/>
        <w:ind w:firstLine="800" w:firstLineChars="200"/>
        <w:jc w:val="center"/>
        <w:rPr>
          <w:rFonts w:hint="eastAsia" w:ascii="宋体" w:hAnsi="宋体" w:cs="宋体"/>
          <w:b/>
          <w:bCs/>
          <w:color w:val="000000"/>
          <w:kern w:val="36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年平均工资121457元</w:t>
      </w:r>
    </w:p>
    <w:p>
      <w:pPr>
        <w:pStyle w:val="12"/>
        <w:ind w:firstLine="640" w:firstLineChars="200"/>
        <w:rPr>
          <w:rFonts w:hint="eastAsia" w:ascii="仿宋" w:hAnsi="仿宋" w:eastAsia="仿宋" w:cs="宋体"/>
          <w:color w:val="333333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</w:pPr>
      <w:r>
        <w:rPr>
          <w:rFonts w:hint="eastAsia" w:ascii="仿宋" w:hAnsi="仿宋" w:eastAsia="仿宋" w:cs="宋体"/>
          <w:color w:val="333333"/>
          <w:sz w:val="32"/>
          <w:szCs w:val="32"/>
        </w:rPr>
        <w:t>202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年青海省城镇非私营单位就业人员年平均工资为12145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元，比上年增加550</w:t>
      </w:r>
      <w:r>
        <w:rPr>
          <w:rFonts w:hint="default" w:ascii="仿宋" w:hAnsi="仿宋" w:eastAsia="仿宋" w:cs="宋体"/>
          <w:color w:val="333333"/>
          <w:sz w:val="32"/>
          <w:szCs w:val="32"/>
          <w:lang w:val="en" w:eastAsia="zh-CN"/>
        </w:rPr>
        <w:t>8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元，同比增长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4.75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%，增速</w:t>
      </w:r>
      <w:r>
        <w:rPr>
          <w:rStyle w:val="8"/>
          <w:rFonts w:hint="eastAsia" w:ascii="仿宋" w:hAnsi="仿宋" w:eastAsia="仿宋" w:cs="宋体"/>
          <w:color w:val="333333"/>
          <w:sz w:val="32"/>
          <w:szCs w:val="32"/>
        </w:rPr>
        <w:t>[</w:t>
      </w:r>
      <w:r>
        <w:rPr>
          <w:rStyle w:val="8"/>
          <w:rFonts w:hint="eastAsia" w:ascii="仿宋" w:hAnsi="仿宋" w:eastAsia="仿宋" w:cs="宋体"/>
          <w:color w:val="333333"/>
          <w:sz w:val="32"/>
          <w:szCs w:val="32"/>
        </w:rPr>
        <w:footnoteReference w:id="0"/>
      </w:r>
      <w:r>
        <w:rPr>
          <w:rStyle w:val="8"/>
          <w:rFonts w:hint="eastAsia" w:ascii="仿宋" w:hAnsi="仿宋" w:eastAsia="仿宋" w:cs="宋体"/>
          <w:color w:val="333333"/>
          <w:sz w:val="32"/>
          <w:szCs w:val="32"/>
        </w:rPr>
        <w:t>]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比202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年回落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1.29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个百分点</w:t>
      </w:r>
      <w:r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扣除价格因素2023年青海省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城镇非私营单位就业人员年平均工资实际增长4.33%。</w:t>
      </w:r>
    </w:p>
    <w:p>
      <w:pPr>
        <w:pStyle w:val="12"/>
        <w:ind w:firstLine="481" w:firstLineChars="20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图1 2019-2023年城镇非私营单位就业人员年平均工资及增速</w:t>
      </w:r>
    </w:p>
    <w:p>
      <w:pPr>
        <w:pStyle w:val="12"/>
        <w:ind w:firstLine="420" w:firstLineChars="200"/>
        <w:jc w:val="center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drawing>
          <wp:inline distT="0" distB="0" distL="114300" distR="114300">
            <wp:extent cx="5725795" cy="2997835"/>
            <wp:effectExtent l="0" t="0" r="0" b="0"/>
            <wp:docPr id="1025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12"/>
        <w:jc w:val="center"/>
        <w:rPr>
          <w:rFonts w:ascii="仿宋" w:hAnsi="仿宋" w:eastAsia="仿宋" w:cs="宋体"/>
          <w:color w:val="333333"/>
          <w:sz w:val="32"/>
          <w:szCs w:val="32"/>
        </w:rPr>
      </w:pPr>
    </w:p>
    <w:p>
      <w:pPr>
        <w:pStyle w:val="12"/>
        <w:ind w:firstLine="642" w:firstLineChars="200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sz w:val="32"/>
          <w:szCs w:val="32"/>
        </w:rPr>
        <w:t>从行业门类看，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非私营单位全部19个行业门类中，有9个行业的平均工资高于全省平均水平。其中年平均工资最高的三个行业分别是采矿业186666元，金融业159142元，信息传输</w:t>
      </w:r>
      <w:r>
        <w:rPr>
          <w:rFonts w:ascii="仿宋" w:hAnsi="仿宋" w:eastAsia="仿宋" w:cs="宋体"/>
          <w:color w:val="333333"/>
          <w:sz w:val="32"/>
          <w:szCs w:val="32"/>
        </w:rPr>
        <w:t>、软件和信息技术服务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业15798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元，分别是全省平均水平的1.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倍、1.31倍、1.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倍。年平均工资最低的三个行业分别是农、林、牧、渔业51608元，住宿和餐饮业52794元，</w:t>
      </w:r>
      <w:r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  <w:t>房地产业58372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元，分别是全省平均水平的42.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%、4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3.47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%、4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8.06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%。</w:t>
      </w:r>
    </w:p>
    <w:p>
      <w:pPr>
        <w:pStyle w:val="12"/>
        <w:ind w:firstLine="642" w:firstLineChars="200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从增长速度看，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全部19个行业门类中，有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个行业的平均工资增速高于全省平均水平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（详见表1）。</w:t>
      </w:r>
      <w:r>
        <w:rPr>
          <w:rFonts w:hint="eastAsia" w:ascii="仿宋" w:hAnsi="仿宋" w:eastAsia="仿宋" w:cs="宋体"/>
          <w:sz w:val="32"/>
          <w:szCs w:val="32"/>
        </w:rPr>
        <w:t>年平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均工资增速最高的三个行业依次为居民服务、修理和其他服务业</w:t>
      </w:r>
      <w:r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  <w:t>、采矿业、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建筑业分别增长19.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%、1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1.29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%和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9.70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%。增速下降的行业为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水利、环境和公共设施管理业和房地产业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，</w:t>
      </w:r>
      <w:r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  <w:t>分别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下降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9.34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%</w:t>
      </w:r>
      <w:r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4.60%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。</w:t>
      </w:r>
    </w:p>
    <w:tbl>
      <w:tblPr>
        <w:tblStyle w:val="6"/>
        <w:tblW w:w="78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表1  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年城镇非私营单位分行业就业人员年平均工资</w:t>
            </w:r>
          </w:p>
          <w:p>
            <w:pPr>
              <w:widowControl/>
              <w:jc w:val="right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单位：元，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%</w:t>
            </w:r>
          </w:p>
          <w:tbl>
            <w:tblPr>
              <w:tblStyle w:val="6"/>
              <w:tblW w:w="8191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64"/>
              <w:gridCol w:w="1309"/>
              <w:gridCol w:w="1165"/>
              <w:gridCol w:w="135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  <w:jc w:val="center"/>
              </w:trPr>
              <w:tc>
                <w:tcPr>
                  <w:tcW w:w="436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行 </w:t>
                  </w:r>
                  <w:r>
                    <w:rPr>
                      <w:rFonts w:hint="eastAsia" w:asciiTheme="minorEastAsia" w:hAnsiTheme="minorEastAsia" w:cstheme="minorEastAsia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业</w:t>
                  </w:r>
                </w:p>
              </w:tc>
              <w:tc>
                <w:tcPr>
                  <w:tcW w:w="13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2023</w:t>
                  </w:r>
                  <w:r>
                    <w:rPr>
                      <w:rStyle w:val="13"/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 w:bidi="ar"/>
                    </w:rPr>
                    <w:t>年</w:t>
                  </w:r>
                </w:p>
              </w:tc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2022</w:t>
                  </w:r>
                  <w:r>
                    <w:rPr>
                      <w:rStyle w:val="13"/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val="en-US" w:eastAsia="zh-CN" w:bidi="ar"/>
                    </w:rPr>
                    <w:t>年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210" w:firstLineChars="100"/>
                    <w:jc w:val="both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增长率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364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i w:val="0"/>
                      <w:color w:val="000000"/>
                      <w:sz w:val="20"/>
                      <w:szCs w:val="20"/>
                      <w:u w:val="none"/>
                      <w:lang w:val="en-US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 合计</w:t>
                  </w:r>
                </w:p>
              </w:tc>
              <w:tc>
                <w:tcPr>
                  <w:tcW w:w="1309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121457 </w:t>
                  </w:r>
                </w:p>
              </w:tc>
              <w:tc>
                <w:tcPr>
                  <w:tcW w:w="116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115949 </w:t>
                  </w:r>
                </w:p>
              </w:tc>
              <w:tc>
                <w:tcPr>
                  <w:tcW w:w="1353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bCs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4.75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（一）农、林、牧、渔业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51608 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48730 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5.91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（二）采矿业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186666 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167733 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11.29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（三）制造业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100763 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96242 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4.70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（四）电力、燃气及水的生产和供应业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144765 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132850 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8.97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（五）建筑业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115039 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104870 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9.70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（六）批发和零售业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90714 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83447 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8.71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（七）交通运输、仓储和邮政业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129914 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121572 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6.86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（八）住宿和餐饮业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52794 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49099 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7.53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（九）信息传输、软件和信息技术服务业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157986 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145562 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8.54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（十）金融业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159142 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152308 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4.49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（十一）房地产业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58372 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61190 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-4.60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（十二）租赁和商务服务业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70146 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65128 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7.71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（十三）科学研究和技术服务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130796 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123405 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5.99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（十四）水利、环境和公共设施管理业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70213 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77450 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-9.34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（十五）居民服务、修理和其他服务业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63365 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52938 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19.70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（十六）教育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132767 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128473 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3.34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（十七）卫生和社会工作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128265 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121833 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5.28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（十八）文化、体育和娱乐业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97365 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92425 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5.35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36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（十九）公共管理、社会保障和社会组织</w:t>
                  </w:r>
                </w:p>
              </w:tc>
              <w:tc>
                <w:tcPr>
                  <w:tcW w:w="1309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127938 </w:t>
                  </w:r>
                </w:p>
              </w:tc>
              <w:tc>
                <w:tcPr>
                  <w:tcW w:w="116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124812 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 xml:space="preserve">2.50 </w:t>
                  </w:r>
                </w:p>
              </w:tc>
            </w:tr>
          </w:tbl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7" w:lineRule="atLeast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  <w:t> </w:t>
      </w:r>
      <w:r>
        <w:rPr>
          <w:rFonts w:ascii="楷体" w:hAnsi="楷体" w:eastAsia="仿宋_GB2312" w:cs="楷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[1] 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以下如未特殊说明，均为名义增长。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附注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1.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指标解释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1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）单位就业人员：指在本单位工作，并由单位支付劳动报酬的人员。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）工资总额：根据《关于工资总额组成的规定》（详见官网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http://www.stats.gov.cn/xxgk/zcfggz/tjxzfg2020/201708/t20170803_1758101.html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），</w:t>
      </w:r>
      <w:r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工资总额是指本单位在报告期内（季度或年度）直接支付给本单位就业人员的劳动报酬总额。包括计时工资、计件工资、奖金、津贴和补贴、加班加点工资、特殊情况下支付的工资。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工资总额是税前工资，包括单位从个人工资中直接为其代扣或代缴的个人所得税、社会保险基金和住房公积金等个人缴纳部分以及房费、水电费等。不论是计入成本的还是不计入成本的，不论是以货币形式支付的还是以实物形式支付的，均应列入工资总额的计算范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3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）平均工资：是指在报告期内单位发放工资的人均水平。计算公式为：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1685925" cy="381000"/>
            <wp:effectExtent l="0" t="0" r="9525" b="0"/>
            <wp:docPr id="2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2.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统计范围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劳动工资统计主要统计法人单位的就业人员和工资情况，个体就业人员、自由职业者等非单位就业人员不在统计范围内。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城镇地区非私营法人单位（包括统计上认定的视同法人单位的产业活动单位）具体包括：除私营单位以外的内资（包括机关、事业）单位、港澳台投资和外商投资企业。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3.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调查方法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根据国家统计局制定的《企业一套表统计调查制度》和《劳动工资统计报表制度》，对一套表法人单位采用全面调查的方法，对非一套表法人单位采用抽样调查的方法。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</w:t>
      </w:r>
      <w:r>
        <w:rPr>
          <w:rFonts w:hint="eastAsia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.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行业分类标准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劳动工资统计的行业分类标准按照《国民经济行业分类》（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GB/T4754-2017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）执行。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</w:t>
      </w:r>
      <w:r>
        <w:rPr>
          <w:rFonts w:hint="eastAsia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.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登记注册划分标准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劳动工资统计自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2023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年起，按照《关于市场主体统计分类的划分规定》（国统字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[2023]14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号）执行新的登记注册统计类别（详见官网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https://www.stats.gov.cn/sj/tjbz/gjtjbz/202302/t20230213_1902786.html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）。</w:t>
      </w:r>
    </w:p>
    <w:p>
      <w:pPr>
        <w:widowControl/>
        <w:spacing w:line="27" w:lineRule="atLeast"/>
        <w:jc w:val="left"/>
        <w:rPr>
          <w:rFonts w:ascii="仿宋_GB2312" w:hAnsi="仿宋_GB2312" w:eastAsia="仿宋_GB2312" w:cs="仿宋_GB2312"/>
          <w:color w:val="333333"/>
          <w:kern w:val="0"/>
          <w:sz w:val="30"/>
          <w:szCs w:val="30"/>
          <w:shd w:val="clear" w:color="auto" w:fill="FFFFFF"/>
        </w:rPr>
      </w:pPr>
    </w:p>
    <w:sectPr>
      <w:footnotePr>
        <w:numFmt w:val="decimal"/>
      </w:footnotePr>
      <w:pgSz w:w="11906" w:h="16838"/>
      <w:pgMar w:top="1440" w:right="1286" w:bottom="1440" w:left="16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/>
  </w:footnote>
  <w:footnote w:type="continuationSeparator" w:id="3">
    <w:p/>
  </w:footnote>
  <w:footnote w:id="0">
    <w:p>
      <w:pPr>
        <w:pStyle w:val="5"/>
        <w:snapToGrid w:val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EB"/>
    <w:rsid w:val="00017E76"/>
    <w:rsid w:val="00023438"/>
    <w:rsid w:val="0005168A"/>
    <w:rsid w:val="0005498D"/>
    <w:rsid w:val="000B0C6F"/>
    <w:rsid w:val="000C75EF"/>
    <w:rsid w:val="000E7FA4"/>
    <w:rsid w:val="000F0F56"/>
    <w:rsid w:val="00195D1F"/>
    <w:rsid w:val="001D22F9"/>
    <w:rsid w:val="001F4743"/>
    <w:rsid w:val="00225C16"/>
    <w:rsid w:val="00280FDF"/>
    <w:rsid w:val="00287186"/>
    <w:rsid w:val="002D0227"/>
    <w:rsid w:val="003224ED"/>
    <w:rsid w:val="003745C6"/>
    <w:rsid w:val="00426335"/>
    <w:rsid w:val="00436130"/>
    <w:rsid w:val="00455C78"/>
    <w:rsid w:val="00583052"/>
    <w:rsid w:val="0062147F"/>
    <w:rsid w:val="0065225A"/>
    <w:rsid w:val="006A296E"/>
    <w:rsid w:val="006A3BBC"/>
    <w:rsid w:val="007248F1"/>
    <w:rsid w:val="007D5D7E"/>
    <w:rsid w:val="008162A6"/>
    <w:rsid w:val="00816B49"/>
    <w:rsid w:val="008176C3"/>
    <w:rsid w:val="008E5961"/>
    <w:rsid w:val="00911E6D"/>
    <w:rsid w:val="00972D43"/>
    <w:rsid w:val="009745AD"/>
    <w:rsid w:val="009A5D17"/>
    <w:rsid w:val="00A5369F"/>
    <w:rsid w:val="00B37E4A"/>
    <w:rsid w:val="00B419AE"/>
    <w:rsid w:val="00B729A8"/>
    <w:rsid w:val="00B801ED"/>
    <w:rsid w:val="00B905EB"/>
    <w:rsid w:val="00BC557A"/>
    <w:rsid w:val="00BD4DD3"/>
    <w:rsid w:val="00BE6D44"/>
    <w:rsid w:val="00C066AB"/>
    <w:rsid w:val="00C12D6A"/>
    <w:rsid w:val="00C2687C"/>
    <w:rsid w:val="00D40C1D"/>
    <w:rsid w:val="00D57C92"/>
    <w:rsid w:val="00D82F38"/>
    <w:rsid w:val="00DC3624"/>
    <w:rsid w:val="00E0791C"/>
    <w:rsid w:val="00EA6957"/>
    <w:rsid w:val="00F35923"/>
    <w:rsid w:val="00F47EC3"/>
    <w:rsid w:val="00FD788E"/>
    <w:rsid w:val="2EE1250D"/>
    <w:rsid w:val="31BE2995"/>
    <w:rsid w:val="33FFAFDA"/>
    <w:rsid w:val="3FF7845E"/>
    <w:rsid w:val="3FFB7C37"/>
    <w:rsid w:val="49FFA9A5"/>
    <w:rsid w:val="56FD03AE"/>
    <w:rsid w:val="59B62ECC"/>
    <w:rsid w:val="5BBC10B8"/>
    <w:rsid w:val="5FEED511"/>
    <w:rsid w:val="5FFF3475"/>
    <w:rsid w:val="67390011"/>
    <w:rsid w:val="6EDD0CC3"/>
    <w:rsid w:val="6F7650F0"/>
    <w:rsid w:val="6F7F8418"/>
    <w:rsid w:val="71FFD44C"/>
    <w:rsid w:val="75677D2C"/>
    <w:rsid w:val="77EBD7E7"/>
    <w:rsid w:val="78DD5A5F"/>
    <w:rsid w:val="7A5B7DCC"/>
    <w:rsid w:val="7AE7CCD4"/>
    <w:rsid w:val="7BA8DD86"/>
    <w:rsid w:val="7BCD0A2F"/>
    <w:rsid w:val="7BDF19AB"/>
    <w:rsid w:val="7BFD384E"/>
    <w:rsid w:val="7DBFF261"/>
    <w:rsid w:val="7DEBA690"/>
    <w:rsid w:val="7DFDD5B5"/>
    <w:rsid w:val="7E0E3C7C"/>
    <w:rsid w:val="7FBFF43E"/>
    <w:rsid w:val="7FE8D16F"/>
    <w:rsid w:val="7FF2DC3E"/>
    <w:rsid w:val="7FFFCA1F"/>
    <w:rsid w:val="90777087"/>
    <w:rsid w:val="9B7F6A66"/>
    <w:rsid w:val="9EFFF1B4"/>
    <w:rsid w:val="9FF7A4FC"/>
    <w:rsid w:val="A71FDA0A"/>
    <w:rsid w:val="AFFF2557"/>
    <w:rsid w:val="B3F934B9"/>
    <w:rsid w:val="BA7B23C6"/>
    <w:rsid w:val="BFF7A71B"/>
    <w:rsid w:val="D1BD30F2"/>
    <w:rsid w:val="DF716E15"/>
    <w:rsid w:val="DFAF6039"/>
    <w:rsid w:val="EBB778B9"/>
    <w:rsid w:val="EBF7F529"/>
    <w:rsid w:val="EBFF37B8"/>
    <w:rsid w:val="EF5F03A4"/>
    <w:rsid w:val="EF7708F5"/>
    <w:rsid w:val="EF9F977A"/>
    <w:rsid w:val="F3074002"/>
    <w:rsid w:val="F393B8D4"/>
    <w:rsid w:val="F5E78657"/>
    <w:rsid w:val="F7BB060B"/>
    <w:rsid w:val="FAFF61BA"/>
    <w:rsid w:val="FBF4A450"/>
    <w:rsid w:val="FF0B7F20"/>
    <w:rsid w:val="FF3F930C"/>
    <w:rsid w:val="FF7ED281"/>
    <w:rsid w:val="FFE642BF"/>
    <w:rsid w:val="FFFBCA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character" w:styleId="8">
    <w:name w:val="footnote reference"/>
    <w:basedOn w:val="7"/>
    <w:semiHidden/>
    <w:unhideWhenUsed/>
    <w:qFormat/>
    <w:uiPriority w:val="99"/>
    <w:rPr>
      <w:vertAlign w:val="superscript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  <w:style w:type="character" w:customStyle="1" w:styleId="13">
    <w:name w:val="font21"/>
    <w:basedOn w:val="7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data/home/uos/&#24037;&#20316;/2024&#24180;/&#21171;&#21160;&#24037;&#36164;/&#24180;&#25253;/&#24180;&#25253;&#25968;&#25454;&#21453;&#39304;/&#19968;&#35272;&#34920;/2023&#24180;&#38750;&#31169;&#33829;&#19968;&#35272;&#34920;%20-&#22269;&#23478;&#21453;&#39304;&#25968;&#2545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200" b="0" i="0" u="none" strike="noStrike" baseline="0">
                <a:solidFill>
                  <a:srgbClr val="000000"/>
                </a:solidFill>
                <a:latin typeface="宋体" charset="-122"/>
                <a:ea typeface="宋体" charset="-122"/>
                <a:cs typeface="宋体" charset="-122"/>
              </a:rPr>
              <a:t>  </a:t>
            </a:r>
            <a:endParaRPr lang="en-US" altLang="zh-CN" sz="1200" b="0" i="0" u="none" strike="noStrike" baseline="0">
              <a:solidFill>
                <a:srgbClr val="000000"/>
              </a:solidFill>
              <a:latin typeface="宋体" charset="-122"/>
              <a:ea typeface="宋体" charset="-122"/>
              <a:cs typeface="宋体" charset="-122"/>
            </a:endParaRPr>
          </a:p>
        </c:rich>
      </c:tx>
      <c:layout>
        <c:manualLayout>
          <c:xMode val="edge"/>
          <c:yMode val="edge"/>
          <c:x val="0.14843452909114"/>
          <c:y val="0.00986842105263158"/>
        </c:manualLayout>
      </c:layout>
      <c:overlay val="false"/>
      <c:spPr>
        <a:noFill/>
        <a:ln>
          <a:noFill/>
        </a:ln>
        <a:effectLst/>
      </c:spPr>
    </c:title>
    <c:autoTitleDeleted val="false"/>
    <c:plotArea>
      <c:layout>
        <c:manualLayout>
          <c:layoutTarget val="inner"/>
          <c:xMode val="edge"/>
          <c:yMode val="edge"/>
          <c:x val="0.112243346007605"/>
          <c:y val="0.167105263157895"/>
          <c:w val="0.804283903675539"/>
          <c:h val="0.658640350877193"/>
        </c:manualLayout>
      </c:layout>
      <c:barChart>
        <c:barDir val="col"/>
        <c:grouping val="clustered"/>
        <c:varyColors val="false"/>
        <c:ser>
          <c:idx val="0"/>
          <c:order val="0"/>
          <c:tx>
            <c:strRef>
              <c:f>'[2023年非私营一览表 -国家反馈数据.xls]Sheet3'!$C$27</c:f>
              <c:strCache>
                <c:ptCount val="1"/>
                <c:pt idx="0">
                  <c:v>年平均工资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numFmt formatCode="General" sourceLinked="tru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strRef>
              <c:f>'[2023年非私营一览表 -国家反馈数据.xls]Sheet3'!$B$28:$B$32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'[2023年非私营一览表 -国家反馈数据.xls]Sheet3'!$C$28:$C$32</c:f>
              <c:numCache>
                <c:formatCode>General</c:formatCode>
                <c:ptCount val="5"/>
                <c:pt idx="0">
                  <c:v>90929</c:v>
                </c:pt>
                <c:pt idx="1">
                  <c:v>101401</c:v>
                </c:pt>
                <c:pt idx="2">
                  <c:v>109346</c:v>
                </c:pt>
                <c:pt idx="3">
                  <c:v>115949</c:v>
                </c:pt>
                <c:pt idx="4" c:formatCode="0_ ">
                  <c:v>121457.40537713</c:v>
                </c:pt>
              </c:numCache>
            </c:numRef>
          </c:val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gapWidth val="219"/>
        <c:overlap val="-27"/>
        <c:axId val="915094343"/>
        <c:axId val="87447004"/>
      </c:barChart>
      <c:lineChart>
        <c:grouping val="standard"/>
        <c:varyColors val="false"/>
        <c:ser>
          <c:idx val="1"/>
          <c:order val="1"/>
          <c:tx>
            <c:strRef>
              <c:f>'[2023年非私营一览表 -国家反馈数据.xls]Sheet3'!$D$27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 cmpd="sng" algn="ctr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square"/>
            <c:size val="6"/>
          </c:marker>
          <c:dPt>
            <c:idx val="1"/>
            <c:marker>
              <c:symbol val="square"/>
              <c:size val="6"/>
            </c:marker>
            <c:bubble3D val="false"/>
            <c:explosion val="0"/>
            <c:spPr>
              <a:ln w="28575" cap="rnd" cmpd="sng" algn="ctr">
                <a:solidFill>
                  <a:schemeClr val="accent2"/>
                </a:solidFill>
                <a:prstDash val="solid"/>
                <a:round/>
              </a:ln>
              <a:effectLst/>
            </c:spPr>
          </c:dPt>
          <c:dLbls>
            <c:numFmt formatCode="General" sourceLinked="true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false"/>
                <c15:leaderLines/>
              </c:ext>
            </c:extLst>
          </c:dLbls>
          <c:cat>
            <c:strRef>
              <c:f>'[2023年非私营一览表 -国家反馈数据.xls]Sheet3'!$B$28:$B$32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'[2023年非私营一览表 -国家反馈数据.xls]Sheet3'!$D$28:$D$32</c:f>
              <c:numCache>
                <c:formatCode>General</c:formatCode>
                <c:ptCount val="5"/>
                <c:pt idx="0">
                  <c:v>6.51</c:v>
                </c:pt>
                <c:pt idx="1">
                  <c:v>11.52</c:v>
                </c:pt>
                <c:pt idx="2">
                  <c:v>7.84</c:v>
                </c:pt>
                <c:pt idx="3" c:formatCode="0.00_ ">
                  <c:v>6.04</c:v>
                </c:pt>
                <c:pt idx="4">
                  <c:v>4.75</c:v>
                </c:pt>
              </c:numCache>
            </c:numRef>
          </c:val>
          <c:smooth val="false"/>
        </c:ser>
        <c:dLbls>
          <c:showLegendKey val="false"/>
          <c:showVal val="false"/>
          <c:showCatName val="false"/>
          <c:showSerName val="false"/>
          <c:showPercent val="false"/>
          <c:showBubbleSize val="false"/>
        </c:dLbls>
        <c:marker val="true"/>
        <c:smooth val="false"/>
        <c:axId val="35133453"/>
        <c:axId val="469154057"/>
      </c:lineChart>
      <c:catAx>
        <c:axId val="915094343"/>
        <c:scaling>
          <c:orientation val="minMax"/>
        </c:scaling>
        <c:delete val="false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7447004"/>
        <c:crosses val="autoZero"/>
        <c:auto val="true"/>
        <c:lblAlgn val="ctr"/>
        <c:lblOffset val="100"/>
        <c:noMultiLvlLbl val="false"/>
      </c:catAx>
      <c:valAx>
        <c:axId val="87447004"/>
        <c:scaling>
          <c:orientation val="minMax"/>
        </c:scaling>
        <c:delete val="false"/>
        <c:axPos val="l"/>
        <c:title>
          <c:tx>
            <c:rich>
              <a:bodyPr rot="0" spcFirstLastPara="0" vertOverflow="ellipsis" vert="eaVert" wrap="square" anchor="ctr" anchorCtr="true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元</a:t>
                </a:r>
                <a:endParaRPr sz="1000" b="0" i="0" u="none" strike="noStrike" baseline="0">
                  <a:solidFill>
                    <a:srgbClr val="595959">
                      <a:alpha val="100000"/>
                    </a:srgbClr>
                  </a:solidFill>
                  <a:latin typeface="宋体" charset="-122"/>
                  <a:ea typeface="宋体" charset="-122"/>
                  <a:cs typeface="宋体" charset="-122"/>
                </a:endParaRPr>
              </a:p>
            </c:rich>
          </c:tx>
          <c:layout>
            <c:manualLayout>
              <c:xMode val="edge"/>
              <c:yMode val="edge"/>
              <c:x val="0.0846111917741004"/>
              <c:y val="0.0926693469785575"/>
            </c:manualLayout>
          </c:layout>
          <c:overlay val="false"/>
          <c:spPr>
            <a:noFill/>
            <a:ln>
              <a:noFill/>
            </a:ln>
            <a:effectLst/>
          </c:spPr>
        </c:title>
        <c:numFmt formatCode="General" sourceLinked="true"/>
        <c:majorTickMark val="in"/>
        <c:minorTickMark val="none"/>
        <c:tickLblPos val="nextTo"/>
        <c:spPr>
          <a:noFill/>
          <a:ln w="635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5094343"/>
        <c:crosses val="autoZero"/>
        <c:crossBetween val="between"/>
      </c:valAx>
      <c:catAx>
        <c:axId val="35133453"/>
        <c:scaling>
          <c:orientation val="minMax"/>
        </c:scaling>
        <c:delete val="true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1000" b="0" i="0" u="none" strike="noStrike" kern="1200" baseline="0">
                <a:solidFill>
                  <a:srgbClr val="595959">
                    <a:alpha val="100000"/>
                  </a:srgbClr>
                </a:solidFill>
                <a:latin typeface="+mn-lt"/>
                <a:ea typeface="+mn-ea"/>
                <a:cs typeface="+mn-cs"/>
              </a:defRPr>
            </a:pPr>
          </a:p>
        </c:txPr>
        <c:crossAx val="469154057"/>
        <c:crosses val="autoZero"/>
        <c:auto val="true"/>
        <c:lblAlgn val="ctr"/>
        <c:lblOffset val="100"/>
        <c:noMultiLvlLbl val="false"/>
      </c:catAx>
      <c:valAx>
        <c:axId val="469154057"/>
        <c:scaling>
          <c:orientation val="minMax"/>
        </c:scaling>
        <c:delete val="false"/>
        <c:axPos val="r"/>
        <c:title>
          <c:tx>
            <c:rich>
              <a:bodyPr rot="0" spcFirstLastPara="0" vertOverflow="ellipsis" vert="horz" wrap="square" anchor="ctr" anchorCtr="true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%</a:t>
                </a:r>
                <a:endParaRPr lang="en-US" altLang="zh-CN" sz="1000" b="0" i="0" u="none" strike="noStrike" baseline="0">
                  <a:solidFill>
                    <a:srgbClr val="595959">
                      <a:alpha val="100000"/>
                    </a:srgbClr>
                  </a:solidFill>
                  <a:latin typeface="Calibri" panose="020F0502020204030204" pitchFamily="2" charset="0"/>
                  <a:ea typeface="Calibri" panose="020F0502020204030204" pitchFamily="2" charset="0"/>
                  <a:cs typeface="Calibri" panose="020F0502020204030204" pitchFamily="2" charset="0"/>
                </a:endParaRPr>
              </a:p>
            </c:rich>
          </c:tx>
          <c:layout>
            <c:manualLayout>
              <c:xMode val="edge"/>
              <c:yMode val="edge"/>
              <c:x val="0.924337492595697"/>
              <c:y val="0.0608991228070176"/>
            </c:manualLayout>
          </c:layout>
          <c:overlay val="false"/>
          <c:spPr>
            <a:noFill/>
            <a:ln>
              <a:noFill/>
            </a:ln>
            <a:effectLst/>
          </c:spPr>
        </c:title>
        <c:numFmt formatCode="General" sourceLinked="true"/>
        <c:majorTickMark val="in"/>
        <c:minorTickMark val="none"/>
        <c:tickLblPos val="nextTo"/>
        <c:spPr>
          <a:noFill/>
          <a:ln w="6350" cap="flat" cmpd="sng" algn="ctr">
            <a:solidFill>
              <a:srgbClr val="000000"/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5133453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4054563602085"/>
          <c:y val="0.913789451387418"/>
          <c:w val="0.350670954863037"/>
          <c:h val="0.0646049565769964"/>
        </c:manualLayout>
      </c:layout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noFill/>
    <a:ln w="9525" cap="flat" cmpd="sng" algn="ctr">
      <a:noFill/>
      <a:prstDash val="solid"/>
      <a:bevel/>
    </a:ln>
    <a:effectLst/>
  </c:spPr>
  <c:txPr>
    <a:bodyPr wrap="square"/>
    <a:lstStyle/>
    <a:p>
      <a:pPr>
        <a:defRPr lang="zh-CN"/>
      </a:pPr>
    </a:p>
  </c:txPr>
  <c:externalData r:id="rId1">
    <c:autoUpdate val="false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4</Pages>
  <Words>396</Words>
  <Characters>2263</Characters>
  <Lines>18</Lines>
  <Paragraphs>5</Paragraphs>
  <TotalTime>1</TotalTime>
  <ScaleCrop>false</ScaleCrop>
  <LinksUpToDate>false</LinksUpToDate>
  <CharactersWithSpaces>2654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2020-05-29T03:08:00Z</dcterms:created>
  <dc:creator>php</dc:creator>
  <cp:lastModifiedBy>uos</cp:lastModifiedBy>
  <cp:lastPrinted>2024-06-05T08:27:00Z</cp:lastPrinted>
  <dcterms:modified xsi:type="dcterms:W3CDTF">2024-06-11T11:10:31Z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